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B4BF" w14:textId="79AF2A81" w:rsidR="007C5367" w:rsidRPr="00F169BC" w:rsidRDefault="007C5367" w:rsidP="007C5367">
      <w:pPr>
        <w:tabs>
          <w:tab w:val="center" w:pos="4536"/>
          <w:tab w:val="right" w:pos="8280"/>
          <w:tab w:val="right" w:pos="9639"/>
        </w:tabs>
        <w:ind w:right="2"/>
        <w:rPr>
          <w:b/>
          <w:bCs/>
        </w:rPr>
      </w:pPr>
      <w:r w:rsidRPr="00F169BC">
        <w:rPr>
          <w:b/>
          <w:bCs/>
        </w:rPr>
        <w:t>3GPP TSG RAN WG1 #100</w:t>
      </w:r>
      <w:r w:rsidR="00607233">
        <w:rPr>
          <w:b/>
          <w:bCs/>
        </w:rPr>
        <w:t>-e</w:t>
      </w:r>
      <w:bookmarkStart w:id="0" w:name="_GoBack"/>
      <w:bookmarkEnd w:id="0"/>
      <w:r w:rsidRPr="00F169BC">
        <w:rPr>
          <w:b/>
          <w:bCs/>
        </w:rPr>
        <w:tab/>
      </w:r>
      <w:r w:rsidRPr="00F169BC">
        <w:rPr>
          <w:b/>
          <w:bCs/>
        </w:rPr>
        <w:tab/>
      </w:r>
      <w:r w:rsidRPr="00F169BC">
        <w:rPr>
          <w:b/>
          <w:bCs/>
        </w:rPr>
        <w:tab/>
        <w:t>R1-200</w:t>
      </w:r>
      <w:r w:rsidR="00804C0F">
        <w:rPr>
          <w:b/>
          <w:bCs/>
        </w:rPr>
        <w:t>0853</w:t>
      </w:r>
    </w:p>
    <w:p w14:paraId="49C683B7" w14:textId="5CEFD3CE" w:rsidR="00136C56" w:rsidRDefault="00F85C7F" w:rsidP="007C5367">
      <w:pPr>
        <w:tabs>
          <w:tab w:val="center" w:pos="4536"/>
          <w:tab w:val="right" w:pos="9072"/>
        </w:tabs>
        <w:rPr>
          <w:rFonts w:eastAsia="MS Mincho"/>
          <w:b/>
          <w:bCs/>
          <w:lang w:eastAsia="ja-JP"/>
        </w:rPr>
      </w:pPr>
      <w:r>
        <w:rPr>
          <w:rFonts w:eastAsia="MS Mincho"/>
          <w:b/>
          <w:bCs/>
          <w:lang w:eastAsia="ja-JP"/>
        </w:rPr>
        <w:t>e-Meeting</w:t>
      </w:r>
      <w:r w:rsidR="007C5367" w:rsidRPr="00F169BC">
        <w:rPr>
          <w:rFonts w:eastAsia="MS Mincho"/>
          <w:b/>
          <w:bCs/>
          <w:lang w:eastAsia="ja-JP"/>
        </w:rPr>
        <w:t>, February 24</w:t>
      </w:r>
      <w:r w:rsidR="007C5367" w:rsidRPr="00F169BC">
        <w:rPr>
          <w:rFonts w:eastAsia="MS Mincho"/>
          <w:b/>
          <w:bCs/>
          <w:vertAlign w:val="superscript"/>
          <w:lang w:eastAsia="ja-JP"/>
        </w:rPr>
        <w:t>th</w:t>
      </w:r>
      <w:r w:rsidR="007C5367" w:rsidRPr="00F169BC">
        <w:rPr>
          <w:rFonts w:eastAsia="MS Mincho"/>
          <w:b/>
          <w:bCs/>
          <w:lang w:eastAsia="ja-JP"/>
        </w:rPr>
        <w:t xml:space="preserve"> – </w:t>
      </w:r>
      <w:r>
        <w:rPr>
          <w:rFonts w:eastAsia="MS Mincho"/>
          <w:b/>
          <w:bCs/>
          <w:lang w:eastAsia="ja-JP"/>
        </w:rPr>
        <w:t>March 6</w:t>
      </w:r>
      <w:r w:rsidR="007C5367" w:rsidRPr="00F169BC">
        <w:rPr>
          <w:rFonts w:eastAsia="MS Mincho"/>
          <w:b/>
          <w:bCs/>
          <w:vertAlign w:val="superscript"/>
          <w:lang w:eastAsia="ja-JP"/>
        </w:rPr>
        <w:t>th</w:t>
      </w:r>
      <w:r w:rsidR="007C5367" w:rsidRPr="00F169BC">
        <w:rPr>
          <w:rFonts w:eastAsia="MS Mincho"/>
          <w:b/>
          <w:bCs/>
          <w:lang w:eastAsia="ja-JP"/>
        </w:rPr>
        <w:t>, 2020</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43EDDF5A" w:rsidR="00531215" w:rsidRPr="00CB472F" w:rsidRDefault="003D3C45" w:rsidP="00311702">
      <w:pPr>
        <w:pStyle w:val="3GPPHeader"/>
      </w:pPr>
      <w:r w:rsidRPr="00CB472F">
        <w:t>Title:</w:t>
      </w:r>
      <w:r w:rsidR="00E90E49" w:rsidRPr="00CB472F">
        <w:tab/>
      </w:r>
      <w:r w:rsidR="007C5367">
        <w:t xml:space="preserve">Remaining Details on </w:t>
      </w:r>
      <w:r w:rsidR="00391702" w:rsidRPr="00042BAB">
        <w:rPr>
          <w:lang w:eastAsia="x-none"/>
        </w:rPr>
        <w:t>Physical Layer Procedures</w:t>
      </w:r>
      <w:r w:rsidR="00DF31A7">
        <w:rPr>
          <w:lang w:eastAsia="x-none"/>
        </w:rPr>
        <w:t xml:space="preserve"> for</w:t>
      </w:r>
      <w:r w:rsidR="00DF31A7" w:rsidRPr="00DF31A7">
        <w:rPr>
          <w:lang w:eastAsia="x-none"/>
        </w:rPr>
        <w:t xml:space="preserve"> </w:t>
      </w:r>
      <w:r w:rsidR="00DF31A7" w:rsidRPr="00042BAB">
        <w:rPr>
          <w:lang w:eastAsia="x-none"/>
        </w:rPr>
        <w:t>NR V2X Sidelink</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3E3AC40D" w14:textId="09343D14" w:rsidR="007C5367" w:rsidRDefault="007C5367" w:rsidP="007C5367">
      <w:pPr>
        <w:jc w:val="both"/>
      </w:pPr>
      <w:r>
        <w:t xml:space="preserve">The Release-16 NR V2X specifications were approved in Dec. 2019 </w:t>
      </w:r>
      <w:r>
        <w:fldChar w:fldCharType="begin"/>
      </w:r>
      <w:r>
        <w:instrText xml:space="preserve"> REF _Ref20471832 \r \h </w:instrText>
      </w:r>
      <w:r>
        <w:fldChar w:fldCharType="separate"/>
      </w:r>
      <w:r w:rsidR="00197EC4">
        <w:t>[1]</w:t>
      </w:r>
      <w:r>
        <w:fldChar w:fldCharType="end"/>
      </w:r>
      <w:r>
        <w:t xml:space="preserve">. There are still some remaining tasks for NR V2X, which were identified in </w:t>
      </w:r>
      <w:r>
        <w:fldChar w:fldCharType="begin"/>
      </w:r>
      <w:r>
        <w:instrText xml:space="preserve"> REF _Ref29545847 \r \h </w:instrText>
      </w:r>
      <w:r>
        <w:fldChar w:fldCharType="separate"/>
      </w:r>
      <w:r w:rsidR="00197EC4">
        <w:t>[2]</w:t>
      </w:r>
      <w:r>
        <w:fldChar w:fldCharType="end"/>
      </w:r>
      <w:r>
        <w:t>.</w:t>
      </w:r>
    </w:p>
    <w:p w14:paraId="38738B28" w14:textId="77777777" w:rsidR="007C5367" w:rsidRDefault="007C5367" w:rsidP="007C5367">
      <w:pPr>
        <w:jc w:val="both"/>
      </w:pPr>
    </w:p>
    <w:p w14:paraId="6914B841" w14:textId="538DAD63" w:rsidR="00805EE1" w:rsidRPr="001E7281" w:rsidRDefault="007C5367" w:rsidP="00CF7F94">
      <w:pPr>
        <w:jc w:val="both"/>
      </w:pPr>
      <w:r>
        <w:t xml:space="preserve">In this contribution, we </w:t>
      </w:r>
      <w:r w:rsidR="002E1870">
        <w:t>discuss the details on some of the identified remaining tasks, including</w:t>
      </w:r>
      <w:r w:rsidR="00F63690">
        <w:t xml:space="preserve"> sidelink power control, PSFCH </w:t>
      </w:r>
      <w:r w:rsidR="000371AF">
        <w:t xml:space="preserve">candidate </w:t>
      </w:r>
      <w:r w:rsidR="00F63690">
        <w:t xml:space="preserve">resource determination, group size restriction for groupcast HARQ feedback option 2, Tx-Rx distance calculation and second stage SCI formats for groupcast HARQ feedback options. </w:t>
      </w:r>
    </w:p>
    <w:p w14:paraId="423292B6" w14:textId="52A0CAD7" w:rsidR="00EA5A5B" w:rsidRDefault="00EA5A5B" w:rsidP="006F0C31">
      <w:pPr>
        <w:pStyle w:val="Heading1"/>
      </w:pPr>
      <w:r>
        <w:t>Discussion</w:t>
      </w:r>
    </w:p>
    <w:p w14:paraId="6A1990E6" w14:textId="71C98F0F" w:rsidR="00CF7F94" w:rsidRDefault="00663C77" w:rsidP="00186C28">
      <w:pPr>
        <w:pStyle w:val="Heading2"/>
        <w:ind w:left="720" w:hanging="720"/>
        <w:rPr>
          <w:sz w:val="28"/>
        </w:rPr>
      </w:pPr>
      <w:r>
        <w:rPr>
          <w:sz w:val="28"/>
        </w:rPr>
        <w:t>Sidelink Power Control</w:t>
      </w:r>
    </w:p>
    <w:p w14:paraId="23D758DD" w14:textId="74A644BE" w:rsidR="00071554" w:rsidRDefault="009429C2" w:rsidP="00D95D3C">
      <w:pPr>
        <w:jc w:val="both"/>
        <w:rPr>
          <w:bCs/>
          <w:iCs/>
        </w:rPr>
      </w:pPr>
      <w:r>
        <w:rPr>
          <w:bCs/>
          <w:iCs/>
        </w:rPr>
        <w:t xml:space="preserve">In LTE V2X, the EPRE of PSCCH is 3 dB more than that of PSSCH so as to increase PSCCH coverage. However, such PSCCH power boosting is not applicable to NR V2X. </w:t>
      </w:r>
    </w:p>
    <w:p w14:paraId="5964DABF" w14:textId="77777777" w:rsidR="009429C2" w:rsidRDefault="009429C2" w:rsidP="00D95D3C">
      <w:pPr>
        <w:jc w:val="both"/>
        <w:rPr>
          <w:bCs/>
          <w:iCs/>
        </w:rPr>
      </w:pPr>
    </w:p>
    <w:p w14:paraId="08F00E98" w14:textId="5456807D" w:rsidR="009429C2" w:rsidRDefault="009429C2" w:rsidP="00D95D3C">
      <w:pPr>
        <w:jc w:val="both"/>
        <w:rPr>
          <w:bCs/>
          <w:iCs/>
        </w:rPr>
      </w:pPr>
      <w:r>
        <w:rPr>
          <w:bCs/>
          <w:iCs/>
        </w:rPr>
        <w:t xml:space="preserve">It was agreed </w:t>
      </w:r>
      <w:r w:rsidR="002E1943">
        <w:rPr>
          <w:bCs/>
          <w:iCs/>
        </w:rPr>
        <w:fldChar w:fldCharType="begin"/>
      </w:r>
      <w:r w:rsidR="002E1943">
        <w:rPr>
          <w:bCs/>
          <w:iCs/>
        </w:rPr>
        <w:instrText xml:space="preserve"> REF _Ref24015578 \r \h </w:instrText>
      </w:r>
      <w:r w:rsidR="002E1943">
        <w:rPr>
          <w:bCs/>
          <w:iCs/>
        </w:rPr>
      </w:r>
      <w:r w:rsidR="002E1943">
        <w:rPr>
          <w:bCs/>
          <w:iCs/>
        </w:rPr>
        <w:fldChar w:fldCharType="separate"/>
      </w:r>
      <w:r w:rsidR="00197EC4">
        <w:rPr>
          <w:bCs/>
          <w:iCs/>
        </w:rPr>
        <w:t>[3]</w:t>
      </w:r>
      <w:r w:rsidR="002E1943">
        <w:rPr>
          <w:bCs/>
          <w:iCs/>
        </w:rPr>
        <w:fldChar w:fldCharType="end"/>
      </w:r>
      <w:r>
        <w:rPr>
          <w:bCs/>
          <w:iCs/>
        </w:rPr>
        <w:t xml:space="preserve"> that the total sidelink transmit power is the same in the symbols used for PSCCH/PSSCH transmissions in a slot. </w:t>
      </w:r>
      <w:r w:rsidR="003D40DD">
        <w:rPr>
          <w:bCs/>
          <w:iCs/>
        </w:rPr>
        <w:t>In</w:t>
      </w:r>
      <w:r>
        <w:rPr>
          <w:bCs/>
          <w:iCs/>
        </w:rPr>
        <w:t xml:space="preserve"> PSCCH and PSSCH multiplexing</w:t>
      </w:r>
      <w:r w:rsidR="003D40DD">
        <w:rPr>
          <w:bCs/>
          <w:iCs/>
        </w:rPr>
        <w:t xml:space="preserve"> </w:t>
      </w:r>
      <w:r w:rsidR="002E1943">
        <w:rPr>
          <w:bCs/>
          <w:iCs/>
        </w:rPr>
        <w:t>o</w:t>
      </w:r>
      <w:r w:rsidR="003D40DD">
        <w:rPr>
          <w:bCs/>
          <w:iCs/>
        </w:rPr>
        <w:t>ption 3</w:t>
      </w:r>
      <w:r>
        <w:rPr>
          <w:bCs/>
          <w:iCs/>
        </w:rPr>
        <w:t xml:space="preserve">, if PSCCH has power boosting, then the EPRE of PSSCH resources </w:t>
      </w:r>
      <w:r w:rsidR="003D40DD">
        <w:rPr>
          <w:bCs/>
          <w:iCs/>
        </w:rPr>
        <w:t>i</w:t>
      </w:r>
      <w:r>
        <w:rPr>
          <w:bCs/>
          <w:iCs/>
        </w:rPr>
        <w:t xml:space="preserve">n the same symbol as PSCCH should be decreased to maintain </w:t>
      </w:r>
      <w:r w:rsidR="003D40DD">
        <w:rPr>
          <w:bCs/>
          <w:iCs/>
        </w:rPr>
        <w:t xml:space="preserve">constant </w:t>
      </w:r>
      <w:r>
        <w:rPr>
          <w:bCs/>
          <w:iCs/>
        </w:rPr>
        <w:t>symbol transmit power</w:t>
      </w:r>
      <w:r w:rsidR="00043C7A">
        <w:rPr>
          <w:bCs/>
          <w:iCs/>
        </w:rPr>
        <w:t xml:space="preserve">. The power reduction on these PSSCH resources leads to </w:t>
      </w:r>
      <w:r w:rsidR="00CB54EC">
        <w:rPr>
          <w:bCs/>
          <w:iCs/>
        </w:rPr>
        <w:t xml:space="preserve">PSSCH </w:t>
      </w:r>
      <w:r w:rsidR="00043C7A">
        <w:rPr>
          <w:bCs/>
          <w:iCs/>
        </w:rPr>
        <w:t xml:space="preserve">decoding performance degradation. Furthermore, it is possible that the transmit power for PSCCH after its power boosting already exceeds the </w:t>
      </w:r>
      <w:r w:rsidR="00FF4BBA">
        <w:rPr>
          <w:bCs/>
          <w:iCs/>
        </w:rPr>
        <w:t xml:space="preserve">transmit power </w:t>
      </w:r>
      <w:r w:rsidR="00043C7A">
        <w:rPr>
          <w:bCs/>
          <w:iCs/>
        </w:rPr>
        <w:t xml:space="preserve">constant, especially when PSCCH occupies most of the frequency resources in a sub-channel. Hence, the power boosting on PSCCH </w:t>
      </w:r>
      <w:r w:rsidR="00FF4BBA">
        <w:rPr>
          <w:bCs/>
          <w:iCs/>
        </w:rPr>
        <w:t>should</w:t>
      </w:r>
      <w:r w:rsidR="00043C7A">
        <w:rPr>
          <w:bCs/>
          <w:iCs/>
        </w:rPr>
        <w:t xml:space="preserve"> not</w:t>
      </w:r>
      <w:r w:rsidR="00FF4BBA">
        <w:rPr>
          <w:bCs/>
          <w:iCs/>
        </w:rPr>
        <w:t xml:space="preserve"> be</w:t>
      </w:r>
      <w:r w:rsidR="00043C7A">
        <w:rPr>
          <w:bCs/>
          <w:iCs/>
        </w:rPr>
        <w:t xml:space="preserve"> supported. </w:t>
      </w:r>
    </w:p>
    <w:p w14:paraId="2AF500C8" w14:textId="77777777" w:rsidR="00ED004B" w:rsidRPr="00ED004B" w:rsidRDefault="00ED004B" w:rsidP="004D2C18">
      <w:pPr>
        <w:rPr>
          <w:bCs/>
          <w:iCs/>
        </w:rPr>
      </w:pPr>
    </w:p>
    <w:p w14:paraId="78EBFB98" w14:textId="787D8E52" w:rsidR="00B76DBC" w:rsidRDefault="004D2C18" w:rsidP="005521B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663C77">
        <w:rPr>
          <w:i/>
        </w:rPr>
        <w:t>Power boosting on PSCCH</w:t>
      </w:r>
      <w:r w:rsidR="00BF3E4B">
        <w:rPr>
          <w:i/>
        </w:rPr>
        <w:t xml:space="preserve"> </w:t>
      </w:r>
      <w:r w:rsidR="00663C77">
        <w:rPr>
          <w:i/>
        </w:rPr>
        <w:t>is not supported</w:t>
      </w:r>
      <w:r w:rsidR="003953DD">
        <w:rPr>
          <w:i/>
        </w:rPr>
        <w:t>.</w:t>
      </w:r>
    </w:p>
    <w:p w14:paraId="72CE0327" w14:textId="77777777" w:rsidR="00B76DBC" w:rsidRDefault="00B76DBC" w:rsidP="005521B1">
      <w:pPr>
        <w:jc w:val="both"/>
        <w:rPr>
          <w:rFonts w:eastAsiaTheme="minorEastAsia"/>
          <w:sz w:val="22"/>
          <w:szCs w:val="22"/>
          <w:lang w:eastAsia="ko-KR"/>
        </w:rPr>
      </w:pPr>
    </w:p>
    <w:p w14:paraId="49CB6C64" w14:textId="027F4DD6" w:rsidR="008227B4" w:rsidRPr="00B031E1" w:rsidRDefault="00740B4B" w:rsidP="00981388">
      <w:pPr>
        <w:jc w:val="both"/>
        <w:rPr>
          <w:rFonts w:eastAsiaTheme="minorEastAsia"/>
          <w:lang w:eastAsia="ko-KR"/>
        </w:rPr>
      </w:pPr>
      <w:r w:rsidRPr="00B031E1">
        <w:rPr>
          <w:rFonts w:eastAsiaTheme="minorEastAsia"/>
          <w:lang w:eastAsia="ko-KR"/>
        </w:rPr>
        <w:t xml:space="preserve">It was agreed </w:t>
      </w:r>
      <w:r w:rsidR="00F63690">
        <w:rPr>
          <w:rFonts w:eastAsiaTheme="minorEastAsia"/>
          <w:lang w:eastAsia="ko-KR"/>
        </w:rPr>
        <w:fldChar w:fldCharType="begin"/>
      </w:r>
      <w:r w:rsidR="00F63690">
        <w:rPr>
          <w:rFonts w:eastAsiaTheme="minorEastAsia"/>
          <w:lang w:eastAsia="ko-KR"/>
        </w:rPr>
        <w:instrText xml:space="preserve"> REF _Ref30522813 \r \h </w:instrText>
      </w:r>
      <w:r w:rsidR="00F63690">
        <w:rPr>
          <w:rFonts w:eastAsiaTheme="minorEastAsia"/>
          <w:lang w:eastAsia="ko-KR"/>
        </w:rPr>
      </w:r>
      <w:r w:rsidR="00F63690">
        <w:rPr>
          <w:rFonts w:eastAsiaTheme="minorEastAsia"/>
          <w:lang w:eastAsia="ko-KR"/>
        </w:rPr>
        <w:fldChar w:fldCharType="separate"/>
      </w:r>
      <w:r w:rsidR="00197EC4">
        <w:rPr>
          <w:rFonts w:eastAsiaTheme="minorEastAsia"/>
          <w:lang w:eastAsia="ko-KR"/>
        </w:rPr>
        <w:t>[4]</w:t>
      </w:r>
      <w:r w:rsidR="00F63690">
        <w:rPr>
          <w:rFonts w:eastAsiaTheme="minorEastAsia"/>
          <w:lang w:eastAsia="ko-KR"/>
        </w:rPr>
        <w:fldChar w:fldCharType="end"/>
      </w:r>
      <w:r w:rsidRPr="00B031E1">
        <w:rPr>
          <w:rFonts w:eastAsiaTheme="minorEastAsia"/>
          <w:lang w:eastAsia="ko-KR"/>
        </w:rPr>
        <w:t xml:space="preserve"> that sidelink CSI-RS uses a subset of NR Uu CSI-RS time-frequency/CDM resource mapping patterns for its resource mapping. The CSI-RS does not appear in every PSCCH/PSSCH symbol. To keep the same sidelink transmit power over all the symbols used for PSCCH/PSSCH transmissions in a slot, the sidelink CSI-RS should use the same EPRE as the sidelink data. The similar </w:t>
      </w:r>
      <w:r w:rsidR="00C673ED">
        <w:rPr>
          <w:rFonts w:eastAsiaTheme="minorEastAsia"/>
          <w:lang w:eastAsia="ko-KR"/>
        </w:rPr>
        <w:t>solution</w:t>
      </w:r>
      <w:r w:rsidRPr="00B031E1">
        <w:rPr>
          <w:rFonts w:eastAsiaTheme="minorEastAsia"/>
          <w:lang w:eastAsia="ko-KR"/>
        </w:rPr>
        <w:t xml:space="preserve"> is applicable to sidelink PT-RS. </w:t>
      </w:r>
    </w:p>
    <w:p w14:paraId="6DDF44A7" w14:textId="2959AF69" w:rsidR="00B76DBC" w:rsidRDefault="00B76DBC" w:rsidP="005521B1">
      <w:pPr>
        <w:jc w:val="both"/>
        <w:rPr>
          <w:rFonts w:eastAsiaTheme="minorEastAsia"/>
          <w:sz w:val="22"/>
          <w:szCs w:val="22"/>
          <w:lang w:eastAsia="ko-KR"/>
        </w:rPr>
      </w:pPr>
    </w:p>
    <w:p w14:paraId="31D55ED4" w14:textId="60D64898" w:rsidR="00B76DBC" w:rsidRDefault="00B76DBC" w:rsidP="00B76DBC">
      <w:pPr>
        <w:jc w:val="both"/>
        <w:rPr>
          <w:i/>
        </w:rPr>
      </w:pPr>
      <w:r w:rsidRPr="001C381A">
        <w:rPr>
          <w:b/>
          <w:i/>
          <w:u w:val="single"/>
        </w:rPr>
        <w:t xml:space="preserve">Proposal </w:t>
      </w:r>
      <w:r w:rsidR="00981388">
        <w:rPr>
          <w:b/>
          <w:i/>
          <w:u w:val="single"/>
        </w:rPr>
        <w:t>2</w:t>
      </w:r>
      <w:r w:rsidRPr="001C381A">
        <w:rPr>
          <w:b/>
          <w:i/>
          <w:u w:val="single"/>
        </w:rPr>
        <w:t>:</w:t>
      </w:r>
      <w:r w:rsidRPr="001C381A">
        <w:rPr>
          <w:i/>
        </w:rPr>
        <w:t xml:space="preserve"> </w:t>
      </w:r>
      <w:r>
        <w:rPr>
          <w:i/>
        </w:rPr>
        <w:t>Power boosting on sidelink CSI-RS and sidelink PT-RS is not supported.</w:t>
      </w:r>
    </w:p>
    <w:p w14:paraId="4F92360B" w14:textId="373018BE" w:rsidR="0059443C" w:rsidRDefault="0059443C" w:rsidP="0081405C">
      <w:pPr>
        <w:jc w:val="both"/>
        <w:rPr>
          <w:iCs/>
        </w:rPr>
      </w:pPr>
    </w:p>
    <w:p w14:paraId="4B31F535" w14:textId="7EA99A27" w:rsidR="0059443C" w:rsidRDefault="0059443C" w:rsidP="0059443C">
      <w:pPr>
        <w:pStyle w:val="Heading2"/>
        <w:ind w:left="720" w:hanging="720"/>
        <w:rPr>
          <w:iCs/>
          <w:sz w:val="28"/>
          <w:szCs w:val="28"/>
        </w:rPr>
      </w:pPr>
      <w:r>
        <w:rPr>
          <w:iCs/>
          <w:sz w:val="28"/>
          <w:szCs w:val="28"/>
        </w:rPr>
        <w:t xml:space="preserve">PSFCH </w:t>
      </w:r>
      <w:r w:rsidR="000371AF">
        <w:rPr>
          <w:iCs/>
          <w:sz w:val="28"/>
          <w:szCs w:val="28"/>
        </w:rPr>
        <w:t xml:space="preserve">Candidate </w:t>
      </w:r>
      <w:r>
        <w:rPr>
          <w:iCs/>
          <w:sz w:val="28"/>
          <w:szCs w:val="28"/>
        </w:rPr>
        <w:t>Resource Determination</w:t>
      </w:r>
    </w:p>
    <w:p w14:paraId="7E0FAF98" w14:textId="285D8A90" w:rsidR="00943F24" w:rsidRDefault="00943F24" w:rsidP="00943F24">
      <w:pPr>
        <w:jc w:val="both"/>
      </w:pPr>
      <w:r>
        <w:t xml:space="preserve">It was working assumption </w:t>
      </w:r>
      <w:r w:rsidR="00F63690">
        <w:fldChar w:fldCharType="begin"/>
      </w:r>
      <w:r w:rsidR="00F63690">
        <w:instrText xml:space="preserve"> REF _Ref30522867 \r \h </w:instrText>
      </w:r>
      <w:r w:rsidR="00F63690">
        <w:fldChar w:fldCharType="separate"/>
      </w:r>
      <w:r w:rsidR="00197EC4">
        <w:t>[5]</w:t>
      </w:r>
      <w:r w:rsidR="00F63690">
        <w:fldChar w:fldCharType="end"/>
      </w:r>
      <w:r w:rsidR="00F63690">
        <w:t xml:space="preserve"> </w:t>
      </w:r>
      <w:r>
        <w:t xml:space="preserve">for a Rx UE to determine its PSFCH resource from a set of PSFCH candidate resources. Furthermore, </w:t>
      </w:r>
      <w:r w:rsidR="00197EC4">
        <w:t xml:space="preserve">it was agreed </w:t>
      </w:r>
      <w:r w:rsidR="00197EC4">
        <w:fldChar w:fldCharType="begin"/>
      </w:r>
      <w:r w:rsidR="00197EC4">
        <w:instrText xml:space="preserve"> REF _Ref30367895 \r \h </w:instrText>
      </w:r>
      <w:r w:rsidR="00197EC4">
        <w:fldChar w:fldCharType="separate"/>
      </w:r>
      <w:r w:rsidR="00197EC4">
        <w:t>[4]</w:t>
      </w:r>
      <w:r w:rsidR="00197EC4">
        <w:fldChar w:fldCharType="end"/>
      </w:r>
      <w:r w:rsidR="00197EC4">
        <w:t xml:space="preserve"> to </w:t>
      </w:r>
      <w:r>
        <w:t>determin</w:t>
      </w:r>
      <w:r w:rsidR="00197EC4">
        <w:t>e</w:t>
      </w:r>
      <w:r>
        <w:t xml:space="preserve"> a set of PSFCH candidate resources </w:t>
      </w:r>
      <w:r>
        <w:lastRenderedPageBreak/>
        <w:t>from the starting sub-channel index and slot index used for the corresponding PSSCH</w:t>
      </w:r>
      <w:r w:rsidR="00197EC4">
        <w:t xml:space="preserve">. </w:t>
      </w:r>
      <w:r>
        <w:t>One open issue is for a PSSCH occupying multiple sub-channels, the candidate PSFCH resource</w:t>
      </w:r>
      <w:r w:rsidR="00197EC4">
        <w:t>s</w:t>
      </w:r>
      <w:r>
        <w:t xml:space="preserve"> </w:t>
      </w:r>
      <w:r w:rsidR="00197EC4">
        <w:t>are</w:t>
      </w:r>
      <w:r>
        <w:t xml:space="preserve"> the set of PRBs associated with one of the following two options: 1). the starting sub-channel and slot used for PSSCH; 2). the sub-channel(s) and slot used for PSSCH. </w:t>
      </w:r>
    </w:p>
    <w:p w14:paraId="1337E992" w14:textId="77777777" w:rsidR="00943F24" w:rsidRDefault="00943F24" w:rsidP="007C5367">
      <w:pPr>
        <w:jc w:val="both"/>
      </w:pPr>
    </w:p>
    <w:p w14:paraId="038D58B5" w14:textId="08087DAD" w:rsidR="007C5367" w:rsidRDefault="00197EC4" w:rsidP="007C5367">
      <w:pPr>
        <w:jc w:val="both"/>
      </w:pPr>
      <w:r>
        <w:t>It is known that o</w:t>
      </w:r>
      <w:r w:rsidR="007C5367">
        <w:t xml:space="preserve">nly a single PSFCH resource is </w:t>
      </w:r>
      <w:r>
        <w:t>requir</w:t>
      </w:r>
      <w:r w:rsidR="007C5367">
        <w:t>ed for unicast and groupcast feedback option 1, where this PSFCH resource is shared by all the Rx UEs for groupcast feedback option 1.</w:t>
      </w:r>
      <w:r>
        <w:t xml:space="preserve"> Subsequently, it is enough to allocate a</w:t>
      </w:r>
      <w:r w:rsidR="007C5367">
        <w:t xml:space="preserve"> small </w:t>
      </w:r>
      <w:r>
        <w:t xml:space="preserve">set </w:t>
      </w:r>
      <w:r w:rsidR="007C5367">
        <w:t xml:space="preserve">of candidate PSFCH resources. </w:t>
      </w:r>
      <w:r>
        <w:t xml:space="preserve">It is preferable to let the candidate PSFCH resources be the set of PRBs associated with </w:t>
      </w:r>
      <w:r w:rsidR="007C5367">
        <w:t xml:space="preserve">the starting sub-channel and slot used for </w:t>
      </w:r>
      <w:r>
        <w:t>PSSCH</w:t>
      </w:r>
      <w:r w:rsidR="007C5367">
        <w:t xml:space="preserve">. This simplifies Tx UE’s PSFCH reception, as it only needs to </w:t>
      </w:r>
      <w:r>
        <w:t>detect PSFCH over</w:t>
      </w:r>
      <w:r w:rsidR="007C5367">
        <w:t xml:space="preserve"> a small </w:t>
      </w:r>
      <w:r>
        <w:t>set</w:t>
      </w:r>
      <w:r w:rsidR="007C5367">
        <w:t xml:space="preserve"> of candidate PSFCH resources.</w:t>
      </w:r>
    </w:p>
    <w:p w14:paraId="627476C6" w14:textId="28FD6BA3" w:rsidR="007C5367" w:rsidRDefault="007C5367" w:rsidP="007C5367">
      <w:pPr>
        <w:jc w:val="both"/>
      </w:pPr>
    </w:p>
    <w:p w14:paraId="3CFF4590" w14:textId="450F3A01" w:rsidR="007C5367" w:rsidRDefault="007C5367" w:rsidP="007C5367">
      <w:pPr>
        <w:jc w:val="both"/>
      </w:pPr>
      <w:r>
        <w:t xml:space="preserve">On the other hand, multiple PSFCH resources are </w:t>
      </w:r>
      <w:r w:rsidR="00197EC4">
        <w:t>required</w:t>
      </w:r>
      <w:r>
        <w:t xml:space="preserve"> for groupcast feedback option 2, where the number of </w:t>
      </w:r>
      <w:r w:rsidR="00197EC4">
        <w:t xml:space="preserve">used </w:t>
      </w:r>
      <w:r>
        <w:t xml:space="preserve">PSFCH resources is equal to the number of Rx UEs in the group. Subsequently, </w:t>
      </w:r>
      <w:r w:rsidR="00197EC4">
        <w:t xml:space="preserve">it is necessary to allocate </w:t>
      </w:r>
      <w:r>
        <w:t xml:space="preserve">a large </w:t>
      </w:r>
      <w:r w:rsidR="00197EC4">
        <w:t>set</w:t>
      </w:r>
      <w:r>
        <w:t xml:space="preserve"> of candidate PSFCH resources. Hence, </w:t>
      </w:r>
      <w:r w:rsidR="00197EC4">
        <w:t xml:space="preserve">it is beneficial to let the candidate PSFCH resources be the </w:t>
      </w:r>
      <w:r>
        <w:t xml:space="preserve">set of PRBs associated with all the sub-channels and slot used for </w:t>
      </w:r>
      <w:r w:rsidR="00197EC4">
        <w:t xml:space="preserve">PSSCH. The increased set of candidate PSFCH resources not only reduces the </w:t>
      </w:r>
      <w:r>
        <w:t>chance of PSFCH collision</w:t>
      </w:r>
      <w:r w:rsidR="00197EC4">
        <w:t xml:space="preserve">, but also allows to support the groupcast feedback option 2 for a large group by using multiple sub-channels for PSSCH transmissions.  </w:t>
      </w:r>
      <w:r>
        <w:t xml:space="preserve"> </w:t>
      </w:r>
    </w:p>
    <w:p w14:paraId="3C0EB6F1" w14:textId="77777777" w:rsidR="007C5367" w:rsidRPr="007C5367" w:rsidRDefault="007C5367" w:rsidP="007C5367"/>
    <w:p w14:paraId="5A99E8B6" w14:textId="7687262B" w:rsidR="00DA7F5D" w:rsidRDefault="007C5367" w:rsidP="00DA7F5D">
      <w:pPr>
        <w:jc w:val="both"/>
        <w:rPr>
          <w:i/>
        </w:rPr>
      </w:pPr>
      <w:r w:rsidRPr="001C381A">
        <w:rPr>
          <w:b/>
          <w:i/>
          <w:u w:val="single"/>
        </w:rPr>
        <w:t xml:space="preserve">Proposal </w:t>
      </w:r>
      <w:r w:rsidR="00943F24">
        <w:rPr>
          <w:b/>
          <w:i/>
          <w:u w:val="single"/>
        </w:rPr>
        <w:t>3</w:t>
      </w:r>
      <w:r w:rsidRPr="001C381A">
        <w:rPr>
          <w:b/>
          <w:i/>
          <w:u w:val="single"/>
        </w:rPr>
        <w:t>:</w:t>
      </w:r>
      <w:r w:rsidRPr="001C381A">
        <w:rPr>
          <w:i/>
        </w:rPr>
        <w:t xml:space="preserve"> </w:t>
      </w:r>
      <w:r>
        <w:rPr>
          <w:i/>
        </w:rPr>
        <w:t xml:space="preserve">For a PSSCH in unicast and groupcast feedback option 1, the candidate PSFCH resource is the set of PRBs associated with the starting sub-channel and slot used for that PSSCH; For a PSSCH in groupcast feedback option 2, the candidate PSFCH resource is the set of PRBs associated with all the sub-channels and slot used for that PSSCH. </w:t>
      </w:r>
    </w:p>
    <w:p w14:paraId="32DEFA74" w14:textId="77777777" w:rsidR="007C5367" w:rsidRDefault="007C5367" w:rsidP="00DA7F5D">
      <w:pPr>
        <w:jc w:val="both"/>
        <w:rPr>
          <w:i/>
        </w:rPr>
      </w:pPr>
    </w:p>
    <w:p w14:paraId="14B9EB7D" w14:textId="55EDBABB" w:rsidR="007C5367" w:rsidRDefault="007C5367" w:rsidP="007C5367">
      <w:pPr>
        <w:pStyle w:val="Heading2"/>
        <w:ind w:left="720" w:hanging="720"/>
        <w:rPr>
          <w:iCs/>
          <w:sz w:val="28"/>
          <w:szCs w:val="28"/>
        </w:rPr>
      </w:pPr>
      <w:r>
        <w:rPr>
          <w:iCs/>
          <w:sz w:val="28"/>
          <w:szCs w:val="28"/>
        </w:rPr>
        <w:t xml:space="preserve">Group Size Restriction for Groupcast </w:t>
      </w:r>
      <w:r w:rsidR="00197EC4">
        <w:rPr>
          <w:iCs/>
          <w:sz w:val="28"/>
          <w:szCs w:val="28"/>
        </w:rPr>
        <w:t xml:space="preserve">HARQ </w:t>
      </w:r>
      <w:r>
        <w:rPr>
          <w:iCs/>
          <w:sz w:val="28"/>
          <w:szCs w:val="28"/>
        </w:rPr>
        <w:t>Feedback Option 2</w:t>
      </w:r>
    </w:p>
    <w:p w14:paraId="5E99BB1E" w14:textId="2BFAF96C" w:rsidR="00943F24" w:rsidRDefault="00943F24" w:rsidP="00943F24">
      <w:pPr>
        <w:jc w:val="both"/>
      </w:pPr>
      <w:r>
        <w:t xml:space="preserve">Based on the above proposal, the </w:t>
      </w:r>
      <w:r w:rsidR="00197EC4">
        <w:t xml:space="preserve">number of candidate </w:t>
      </w:r>
      <w:r>
        <w:t xml:space="preserve">PSFCH resources for groupcast feedback option 2 </w:t>
      </w:r>
      <w:r w:rsidR="00197EC4">
        <w:t xml:space="preserve">is proportional to </w:t>
      </w:r>
      <w:r>
        <w:t>the number of s</w:t>
      </w:r>
      <w:r w:rsidR="007C5367">
        <w:t>ub-channels used for PSSCH.</w:t>
      </w:r>
      <w:r>
        <w:t xml:space="preserve"> The more sub-channels of a PSSCH, the </w:t>
      </w:r>
      <w:r w:rsidR="00197EC4">
        <w:t>more candidate</w:t>
      </w:r>
      <w:r>
        <w:t xml:space="preserve"> PSFCH resources, and hence the larger group size </w:t>
      </w:r>
      <w:r w:rsidR="00197EC4">
        <w:t xml:space="preserve">supported </w:t>
      </w:r>
      <w:r>
        <w:t xml:space="preserve">with groupcast feedback option 2. In other words, the </w:t>
      </w:r>
      <w:r w:rsidR="00197EC4">
        <w:t xml:space="preserve">supported </w:t>
      </w:r>
      <w:r>
        <w:t>group size</w:t>
      </w:r>
      <w:r w:rsidR="00197EC4">
        <w:t xml:space="preserve"> for</w:t>
      </w:r>
      <w:r>
        <w:t xml:space="preserve"> groupcast HARQ feedback option 2 </w:t>
      </w:r>
      <w:r w:rsidR="00197EC4">
        <w:t xml:space="preserve">varies, </w:t>
      </w:r>
      <w:r>
        <w:t>depend</w:t>
      </w:r>
      <w:r w:rsidR="00197EC4">
        <w:t>ing</w:t>
      </w:r>
      <w:r>
        <w:t xml:space="preserve"> on the corresponding PSSCH resources. </w:t>
      </w:r>
      <w:r w:rsidR="00197EC4">
        <w:t>Therefore,</w:t>
      </w:r>
      <w:r>
        <w:t xml:space="preserve"> we do not need to have </w:t>
      </w:r>
      <w:r w:rsidR="00197EC4">
        <w:t>an</w:t>
      </w:r>
      <w:r>
        <w:t xml:space="preserve"> explicit group size restriction for groupcast feedback option 2.  </w:t>
      </w:r>
    </w:p>
    <w:p w14:paraId="501AB162" w14:textId="77777777" w:rsidR="00943F24" w:rsidRPr="007C5367" w:rsidRDefault="00943F24" w:rsidP="00943F24">
      <w:pPr>
        <w:jc w:val="both"/>
      </w:pPr>
    </w:p>
    <w:p w14:paraId="542A89D2" w14:textId="33671DF3" w:rsidR="007C5367" w:rsidRDefault="007C5367" w:rsidP="00943F24">
      <w:pPr>
        <w:jc w:val="both"/>
        <w:rPr>
          <w:i/>
        </w:rPr>
      </w:pPr>
      <w:r w:rsidRPr="00F63690">
        <w:rPr>
          <w:b/>
          <w:i/>
          <w:u w:val="single"/>
        </w:rPr>
        <w:t xml:space="preserve">Proposal </w:t>
      </w:r>
      <w:r w:rsidR="00943F24" w:rsidRPr="00F63690">
        <w:rPr>
          <w:b/>
          <w:i/>
          <w:u w:val="single"/>
        </w:rPr>
        <w:t>4</w:t>
      </w:r>
      <w:r w:rsidRPr="00F63690">
        <w:rPr>
          <w:b/>
          <w:i/>
          <w:u w:val="single"/>
        </w:rPr>
        <w:t>:</w:t>
      </w:r>
      <w:r w:rsidRPr="00F63690">
        <w:rPr>
          <w:i/>
        </w:rPr>
        <w:t xml:space="preserve"> No explicit group size restriction is imposed on groupcast </w:t>
      </w:r>
      <w:r w:rsidR="00197EC4">
        <w:rPr>
          <w:i/>
        </w:rPr>
        <w:t xml:space="preserve">HARQ </w:t>
      </w:r>
      <w:r w:rsidRPr="00F63690">
        <w:rPr>
          <w:i/>
        </w:rPr>
        <w:t>feedback option 2.</w:t>
      </w:r>
      <w:r>
        <w:rPr>
          <w:i/>
        </w:rPr>
        <w:t xml:space="preserve"> </w:t>
      </w:r>
    </w:p>
    <w:p w14:paraId="5E21C7B4" w14:textId="36718B06" w:rsidR="007C5367" w:rsidRDefault="007C5367" w:rsidP="000C19DB">
      <w:pPr>
        <w:jc w:val="both"/>
        <w:rPr>
          <w:i/>
        </w:rPr>
      </w:pPr>
    </w:p>
    <w:p w14:paraId="5849D986" w14:textId="03525F4E" w:rsidR="007C5367" w:rsidRPr="002F66F6" w:rsidRDefault="007C5367" w:rsidP="007C5367">
      <w:pPr>
        <w:pStyle w:val="Heading2"/>
        <w:ind w:left="720" w:hanging="720"/>
        <w:rPr>
          <w:iCs/>
          <w:sz w:val="28"/>
          <w:szCs w:val="28"/>
        </w:rPr>
      </w:pPr>
      <w:r>
        <w:rPr>
          <w:iCs/>
          <w:sz w:val="28"/>
          <w:szCs w:val="28"/>
        </w:rPr>
        <w:t>Tx-Rx Distance Calculation</w:t>
      </w:r>
    </w:p>
    <w:p w14:paraId="0367B991" w14:textId="747B0EA1" w:rsidR="007C5367" w:rsidRDefault="007C5367" w:rsidP="007C5367">
      <w:pPr>
        <w:jc w:val="both"/>
        <w:rPr>
          <w:iCs/>
        </w:rPr>
      </w:pPr>
      <w:r>
        <w:rPr>
          <w:iCs/>
        </w:rPr>
        <w:t xml:space="preserve">It was agreed </w:t>
      </w:r>
      <w:r w:rsidR="00F63690">
        <w:rPr>
          <w:iCs/>
        </w:rPr>
        <w:fldChar w:fldCharType="begin"/>
      </w:r>
      <w:r w:rsidR="00F63690">
        <w:rPr>
          <w:iCs/>
        </w:rPr>
        <w:instrText xml:space="preserve"> REF _Ref24015578 \r \h </w:instrText>
      </w:r>
      <w:r w:rsidR="00F63690">
        <w:rPr>
          <w:iCs/>
        </w:rPr>
      </w:r>
      <w:r w:rsidR="00F63690">
        <w:rPr>
          <w:iCs/>
        </w:rPr>
        <w:fldChar w:fldCharType="separate"/>
      </w:r>
      <w:r w:rsidR="00197EC4">
        <w:rPr>
          <w:iCs/>
        </w:rPr>
        <w:t>[3]</w:t>
      </w:r>
      <w:r w:rsidR="00F63690">
        <w:rPr>
          <w:iCs/>
        </w:rPr>
        <w:fldChar w:fldCharType="end"/>
      </w:r>
      <w:r>
        <w:rPr>
          <w:iCs/>
        </w:rPr>
        <w:t xml:space="preserve"> that at least for groupcast HARQ feedback option 1, i.e., HARQ-NACK only, the Tx-Rx distance-based HARQ feedback is supported.</w:t>
      </w:r>
      <w:r w:rsidR="00197EC4">
        <w:rPr>
          <w:iCs/>
        </w:rPr>
        <w:t xml:space="preserve"> </w:t>
      </w:r>
      <w:r>
        <w:rPr>
          <w:iCs/>
        </w:rPr>
        <w:t xml:space="preserve">The calculation of Tx-Rx distance is facilitated by Tx UE transmitting its location information, in terms of zone ID, via </w:t>
      </w:r>
      <w:r w:rsidR="000371AF">
        <w:rPr>
          <w:iCs/>
        </w:rPr>
        <w:t xml:space="preserve">second stage </w:t>
      </w:r>
      <w:r>
        <w:rPr>
          <w:iCs/>
        </w:rPr>
        <w:t>SCI. Each Rx UE can calculate its distance to Tx UE</w:t>
      </w:r>
      <w:r w:rsidR="00197EC4">
        <w:rPr>
          <w:iCs/>
        </w:rPr>
        <w:t>, based on its own geodesic location and Tx UE’s zone ID</w:t>
      </w:r>
      <w:r>
        <w:rPr>
          <w:iCs/>
        </w:rPr>
        <w:t xml:space="preserve">. The distance calculation </w:t>
      </w:r>
      <w:r w:rsidR="00197EC4">
        <w:rPr>
          <w:iCs/>
        </w:rPr>
        <w:t>can have</w:t>
      </w:r>
      <w:r>
        <w:rPr>
          <w:iCs/>
        </w:rPr>
        <w:t xml:space="preserve"> the following steps:</w:t>
      </w:r>
    </w:p>
    <w:p w14:paraId="0A57BB88" w14:textId="2FAF9016" w:rsidR="00943F24" w:rsidRPr="00943F24" w:rsidRDefault="007C5367" w:rsidP="00943F24">
      <w:pPr>
        <w:pStyle w:val="ListParagraph"/>
        <w:numPr>
          <w:ilvl w:val="0"/>
          <w:numId w:val="39"/>
        </w:numPr>
        <w:jc w:val="both"/>
        <w:rPr>
          <w:rFonts w:ascii="Times New Roman" w:hAnsi="Times New Roman"/>
          <w:iCs/>
          <w:sz w:val="24"/>
          <w:szCs w:val="24"/>
        </w:rPr>
      </w:pPr>
      <w:r>
        <w:rPr>
          <w:rFonts w:ascii="Times New Roman" w:hAnsi="Times New Roman"/>
          <w:iCs/>
          <w:sz w:val="24"/>
          <w:szCs w:val="24"/>
        </w:rPr>
        <w:t>Obtain a list of zone center geodesic locations whose corresponding zone ID is identical to Tx UE’s zone ID</w:t>
      </w:r>
      <w:r w:rsidR="00943F24">
        <w:rPr>
          <w:rFonts w:ascii="Times New Roman" w:hAnsi="Times New Roman"/>
          <w:iCs/>
          <w:sz w:val="24"/>
          <w:szCs w:val="24"/>
        </w:rPr>
        <w:t>. Here, the wraparound of zone ID is considered.</w:t>
      </w:r>
    </w:p>
    <w:p w14:paraId="01A811D4" w14:textId="095C3B25" w:rsidR="00943F24" w:rsidRPr="00943F24" w:rsidRDefault="007C5367" w:rsidP="00943F24">
      <w:pPr>
        <w:pStyle w:val="ListParagraph"/>
        <w:numPr>
          <w:ilvl w:val="0"/>
          <w:numId w:val="39"/>
        </w:numPr>
        <w:jc w:val="both"/>
        <w:rPr>
          <w:rFonts w:ascii="Times New Roman" w:hAnsi="Times New Roman"/>
          <w:iCs/>
          <w:sz w:val="24"/>
          <w:szCs w:val="24"/>
        </w:rPr>
      </w:pPr>
      <w:r>
        <w:rPr>
          <w:rFonts w:ascii="Times New Roman" w:hAnsi="Times New Roman"/>
          <w:iCs/>
          <w:sz w:val="24"/>
          <w:szCs w:val="24"/>
        </w:rPr>
        <w:t>Identify a zone</w:t>
      </w:r>
      <w:r w:rsidR="00197EC4">
        <w:rPr>
          <w:rFonts w:ascii="Times New Roman" w:hAnsi="Times New Roman"/>
          <w:iCs/>
          <w:sz w:val="24"/>
          <w:szCs w:val="24"/>
        </w:rPr>
        <w:t xml:space="preserve"> from the list</w:t>
      </w:r>
      <w:r w:rsidR="00943F24">
        <w:rPr>
          <w:rFonts w:ascii="Times New Roman" w:hAnsi="Times New Roman"/>
          <w:iCs/>
          <w:sz w:val="24"/>
          <w:szCs w:val="24"/>
        </w:rPr>
        <w:t xml:space="preserve"> whose</w:t>
      </w:r>
      <w:r>
        <w:rPr>
          <w:rFonts w:ascii="Times New Roman" w:hAnsi="Times New Roman"/>
          <w:iCs/>
          <w:sz w:val="24"/>
          <w:szCs w:val="24"/>
        </w:rPr>
        <w:t xml:space="preserve"> center geodesic location </w:t>
      </w:r>
      <w:r w:rsidR="00943F24">
        <w:rPr>
          <w:rFonts w:ascii="Times New Roman" w:hAnsi="Times New Roman"/>
          <w:iCs/>
          <w:sz w:val="24"/>
          <w:szCs w:val="24"/>
        </w:rPr>
        <w:t>is</w:t>
      </w:r>
      <w:r>
        <w:rPr>
          <w:rFonts w:ascii="Times New Roman" w:hAnsi="Times New Roman"/>
          <w:iCs/>
          <w:sz w:val="24"/>
          <w:szCs w:val="24"/>
        </w:rPr>
        <w:t xml:space="preserve"> closest </w:t>
      </w:r>
      <w:r w:rsidR="00943F24">
        <w:rPr>
          <w:rFonts w:ascii="Times New Roman" w:hAnsi="Times New Roman"/>
          <w:iCs/>
          <w:sz w:val="24"/>
          <w:szCs w:val="24"/>
        </w:rPr>
        <w:t>to</w:t>
      </w:r>
      <w:r>
        <w:rPr>
          <w:rFonts w:ascii="Times New Roman" w:hAnsi="Times New Roman"/>
          <w:iCs/>
          <w:sz w:val="24"/>
          <w:szCs w:val="24"/>
        </w:rPr>
        <w:t xml:space="preserve"> Rx UE’s geodesic location</w:t>
      </w:r>
      <w:r w:rsidR="00943F24">
        <w:rPr>
          <w:rFonts w:ascii="Times New Roman" w:hAnsi="Times New Roman"/>
          <w:iCs/>
          <w:sz w:val="24"/>
          <w:szCs w:val="24"/>
        </w:rPr>
        <w:t>. The distance from Rx UE’s geodesic location to each candidate zone center geodesic location is calculated and the minimum distance is selected.</w:t>
      </w:r>
    </w:p>
    <w:p w14:paraId="1F318635" w14:textId="64DB38D1" w:rsidR="00943F24" w:rsidRPr="00943F24" w:rsidRDefault="00943F24" w:rsidP="00943F24">
      <w:pPr>
        <w:pStyle w:val="ListParagraph"/>
        <w:numPr>
          <w:ilvl w:val="0"/>
          <w:numId w:val="39"/>
        </w:numPr>
        <w:jc w:val="both"/>
        <w:rPr>
          <w:rFonts w:ascii="Times New Roman" w:hAnsi="Times New Roman"/>
          <w:iCs/>
          <w:sz w:val="24"/>
          <w:szCs w:val="24"/>
        </w:rPr>
      </w:pPr>
      <w:r>
        <w:rPr>
          <w:rFonts w:ascii="Times New Roman" w:hAnsi="Times New Roman"/>
          <w:iCs/>
          <w:sz w:val="24"/>
          <w:szCs w:val="24"/>
        </w:rPr>
        <w:t>Set</w:t>
      </w:r>
      <w:r w:rsidR="007C5367">
        <w:rPr>
          <w:rFonts w:ascii="Times New Roman" w:hAnsi="Times New Roman"/>
          <w:iCs/>
          <w:sz w:val="24"/>
          <w:szCs w:val="24"/>
        </w:rPr>
        <w:t xml:space="preserve"> Tx UE’s geodesic location within the identified zone</w:t>
      </w:r>
      <w:r>
        <w:rPr>
          <w:rFonts w:ascii="Times New Roman" w:hAnsi="Times New Roman"/>
          <w:iCs/>
          <w:sz w:val="24"/>
          <w:szCs w:val="24"/>
        </w:rPr>
        <w:t xml:space="preserve">, depending on data priority. Each zone is a rectangular, and Tx UE can be anywhere in the identified zone. The setting of Tx </w:t>
      </w:r>
      <w:r>
        <w:rPr>
          <w:rFonts w:ascii="Times New Roman" w:hAnsi="Times New Roman"/>
          <w:iCs/>
          <w:sz w:val="24"/>
          <w:szCs w:val="24"/>
        </w:rPr>
        <w:lastRenderedPageBreak/>
        <w:t>UE’s geodesic location within the identified zone depend</w:t>
      </w:r>
      <w:r w:rsidR="00197EC4">
        <w:rPr>
          <w:rFonts w:ascii="Times New Roman" w:hAnsi="Times New Roman"/>
          <w:iCs/>
          <w:sz w:val="24"/>
          <w:szCs w:val="24"/>
        </w:rPr>
        <w:t>s</w:t>
      </w:r>
      <w:r>
        <w:rPr>
          <w:rFonts w:ascii="Times New Roman" w:hAnsi="Times New Roman"/>
          <w:iCs/>
          <w:sz w:val="24"/>
          <w:szCs w:val="24"/>
        </w:rPr>
        <w:t xml:space="preserve"> on data priority. For example, for high priority data, the Tx UE’s geodesic location is set closer to Rx UE’s geodesic location within the identified zone such that the Rx UE is more likely</w:t>
      </w:r>
      <w:r w:rsidR="00197EC4">
        <w:rPr>
          <w:rFonts w:ascii="Times New Roman" w:hAnsi="Times New Roman"/>
          <w:iCs/>
          <w:sz w:val="24"/>
          <w:szCs w:val="24"/>
        </w:rPr>
        <w:t xml:space="preserve"> to</w:t>
      </w:r>
      <w:r>
        <w:rPr>
          <w:rFonts w:ascii="Times New Roman" w:hAnsi="Times New Roman"/>
          <w:iCs/>
          <w:sz w:val="24"/>
          <w:szCs w:val="24"/>
        </w:rPr>
        <w:t xml:space="preserve"> trigger HARQ feedback.</w:t>
      </w:r>
    </w:p>
    <w:p w14:paraId="2BA412D6" w14:textId="5D82252A" w:rsidR="007C5367" w:rsidRPr="007C5367" w:rsidRDefault="007C5367" w:rsidP="007C5367">
      <w:pPr>
        <w:pStyle w:val="ListParagraph"/>
        <w:numPr>
          <w:ilvl w:val="0"/>
          <w:numId w:val="39"/>
        </w:numPr>
        <w:jc w:val="both"/>
        <w:rPr>
          <w:rFonts w:ascii="Times New Roman" w:hAnsi="Times New Roman"/>
          <w:iCs/>
          <w:sz w:val="24"/>
          <w:szCs w:val="24"/>
        </w:rPr>
      </w:pPr>
      <w:r>
        <w:rPr>
          <w:rFonts w:ascii="Times New Roman" w:hAnsi="Times New Roman"/>
          <w:iCs/>
          <w:sz w:val="24"/>
          <w:szCs w:val="24"/>
        </w:rPr>
        <w:t>Calculate the distance between Tx UE’s geodesic location and Rx UE’s geodesic location</w:t>
      </w:r>
      <w:r w:rsidR="00943F24">
        <w:rPr>
          <w:rFonts w:ascii="Times New Roman" w:hAnsi="Times New Roman"/>
          <w:iCs/>
          <w:sz w:val="24"/>
          <w:szCs w:val="24"/>
        </w:rPr>
        <w:t>.</w:t>
      </w:r>
    </w:p>
    <w:p w14:paraId="57364023" w14:textId="77777777" w:rsidR="007C5367" w:rsidRDefault="007C5367" w:rsidP="007C5367">
      <w:pPr>
        <w:jc w:val="both"/>
        <w:rPr>
          <w:iCs/>
        </w:rPr>
      </w:pPr>
    </w:p>
    <w:p w14:paraId="3BC255DA" w14:textId="013C00DE" w:rsidR="007C5367" w:rsidRDefault="007C5367" w:rsidP="007C5367">
      <w:pPr>
        <w:jc w:val="both"/>
        <w:rPr>
          <w:i/>
        </w:rPr>
      </w:pPr>
      <w:r w:rsidRPr="001C381A">
        <w:rPr>
          <w:b/>
          <w:i/>
          <w:u w:val="single"/>
        </w:rPr>
        <w:t xml:space="preserve">Proposal </w:t>
      </w:r>
      <w:r w:rsidR="00943F24">
        <w:rPr>
          <w:b/>
          <w:i/>
          <w:u w:val="single"/>
        </w:rPr>
        <w:t>5</w:t>
      </w:r>
      <w:r w:rsidRPr="001C381A">
        <w:rPr>
          <w:b/>
          <w:i/>
          <w:u w:val="single"/>
        </w:rPr>
        <w:t>:</w:t>
      </w:r>
      <w:r>
        <w:rPr>
          <w:i/>
        </w:rPr>
        <w:t xml:space="preserve"> For groupcast HARQ feedback option 1, the calculation of Tx-Rx distance has the following steps:</w:t>
      </w:r>
    </w:p>
    <w:p w14:paraId="465DF907" w14:textId="64D8A5FB" w:rsidR="00943F24" w:rsidRPr="00943F24" w:rsidRDefault="00943F24" w:rsidP="00943F24">
      <w:pPr>
        <w:pStyle w:val="ListParagraph"/>
        <w:numPr>
          <w:ilvl w:val="0"/>
          <w:numId w:val="40"/>
        </w:numPr>
        <w:jc w:val="both"/>
        <w:rPr>
          <w:rFonts w:ascii="Times New Roman" w:hAnsi="Times New Roman"/>
          <w:i/>
          <w:sz w:val="24"/>
          <w:szCs w:val="24"/>
        </w:rPr>
      </w:pPr>
      <w:r w:rsidRPr="00943F24">
        <w:rPr>
          <w:rFonts w:ascii="Times New Roman" w:hAnsi="Times New Roman"/>
          <w:i/>
          <w:sz w:val="24"/>
          <w:szCs w:val="24"/>
        </w:rPr>
        <w:t>Obtain a list of zone center geodesic locations whose corresponding zone ID is identical to Tx UE’s zone ID</w:t>
      </w:r>
      <w:r>
        <w:rPr>
          <w:rFonts w:ascii="Times New Roman" w:hAnsi="Times New Roman"/>
          <w:i/>
          <w:sz w:val="24"/>
          <w:szCs w:val="24"/>
        </w:rPr>
        <w:t>.</w:t>
      </w:r>
    </w:p>
    <w:p w14:paraId="7B858F49" w14:textId="1CD016C2" w:rsidR="00943F24" w:rsidRPr="00943F24" w:rsidRDefault="00943F24" w:rsidP="00943F24">
      <w:pPr>
        <w:pStyle w:val="ListParagraph"/>
        <w:numPr>
          <w:ilvl w:val="0"/>
          <w:numId w:val="40"/>
        </w:numPr>
        <w:jc w:val="both"/>
        <w:rPr>
          <w:rFonts w:ascii="Times New Roman" w:hAnsi="Times New Roman"/>
          <w:i/>
          <w:sz w:val="24"/>
          <w:szCs w:val="24"/>
        </w:rPr>
      </w:pPr>
      <w:r w:rsidRPr="00943F24">
        <w:rPr>
          <w:rFonts w:ascii="Times New Roman" w:hAnsi="Times New Roman"/>
          <w:i/>
          <w:sz w:val="24"/>
          <w:szCs w:val="24"/>
        </w:rPr>
        <w:t>Identify a zone</w:t>
      </w:r>
      <w:r w:rsidR="00197EC4">
        <w:rPr>
          <w:rFonts w:ascii="Times New Roman" w:hAnsi="Times New Roman"/>
          <w:i/>
          <w:sz w:val="24"/>
          <w:szCs w:val="24"/>
        </w:rPr>
        <w:t xml:space="preserve"> from the list</w:t>
      </w:r>
      <w:r w:rsidRPr="00943F24">
        <w:rPr>
          <w:rFonts w:ascii="Times New Roman" w:hAnsi="Times New Roman"/>
          <w:i/>
          <w:sz w:val="24"/>
          <w:szCs w:val="24"/>
        </w:rPr>
        <w:t xml:space="preserve"> whose center geodesic location is closest to Rx UE’s geodesic location.</w:t>
      </w:r>
    </w:p>
    <w:p w14:paraId="61D89E93" w14:textId="77777777" w:rsidR="00943F24" w:rsidRPr="00943F24" w:rsidRDefault="00943F24" w:rsidP="00943F24">
      <w:pPr>
        <w:pStyle w:val="ListParagraph"/>
        <w:numPr>
          <w:ilvl w:val="0"/>
          <w:numId w:val="40"/>
        </w:numPr>
        <w:jc w:val="both"/>
        <w:rPr>
          <w:rFonts w:ascii="Times New Roman" w:hAnsi="Times New Roman"/>
          <w:i/>
          <w:sz w:val="24"/>
          <w:szCs w:val="24"/>
        </w:rPr>
      </w:pPr>
      <w:r w:rsidRPr="00943F24">
        <w:rPr>
          <w:rFonts w:ascii="Times New Roman" w:hAnsi="Times New Roman"/>
          <w:i/>
          <w:sz w:val="24"/>
          <w:szCs w:val="24"/>
        </w:rPr>
        <w:t xml:space="preserve">Set Tx UE’s geodesic location within the identified zone, depending on data priority. </w:t>
      </w:r>
    </w:p>
    <w:p w14:paraId="1023BEDE" w14:textId="57C85F84" w:rsidR="00943F24" w:rsidRPr="00943F24" w:rsidRDefault="00943F24" w:rsidP="007C5367">
      <w:pPr>
        <w:pStyle w:val="ListParagraph"/>
        <w:numPr>
          <w:ilvl w:val="0"/>
          <w:numId w:val="40"/>
        </w:numPr>
        <w:jc w:val="both"/>
        <w:rPr>
          <w:rFonts w:ascii="Times New Roman" w:hAnsi="Times New Roman"/>
          <w:i/>
          <w:sz w:val="24"/>
          <w:szCs w:val="24"/>
        </w:rPr>
      </w:pPr>
      <w:r w:rsidRPr="00943F24">
        <w:rPr>
          <w:rFonts w:ascii="Times New Roman" w:hAnsi="Times New Roman"/>
          <w:i/>
          <w:sz w:val="24"/>
          <w:szCs w:val="24"/>
        </w:rPr>
        <w:t>Calculate the distance between Tx UE’s geodesic location and Rx UE’s geodesic location</w:t>
      </w:r>
      <w:r>
        <w:rPr>
          <w:rFonts w:ascii="Times New Roman" w:hAnsi="Times New Roman"/>
          <w:i/>
          <w:sz w:val="24"/>
          <w:szCs w:val="24"/>
        </w:rPr>
        <w:t>.</w:t>
      </w:r>
    </w:p>
    <w:p w14:paraId="296453E7" w14:textId="77777777" w:rsidR="007C5367" w:rsidRDefault="007C5367" w:rsidP="007C5367">
      <w:pPr>
        <w:jc w:val="both"/>
        <w:rPr>
          <w:iCs/>
        </w:rPr>
      </w:pPr>
    </w:p>
    <w:p w14:paraId="06F85999" w14:textId="06306664" w:rsidR="007C5367" w:rsidRPr="007C5367" w:rsidRDefault="000371AF" w:rsidP="007C5367">
      <w:pPr>
        <w:pStyle w:val="Heading2"/>
        <w:ind w:left="720" w:hanging="720"/>
        <w:rPr>
          <w:iCs/>
          <w:sz w:val="28"/>
          <w:szCs w:val="28"/>
        </w:rPr>
      </w:pPr>
      <w:r>
        <w:rPr>
          <w:iCs/>
          <w:sz w:val="28"/>
          <w:szCs w:val="28"/>
        </w:rPr>
        <w:t xml:space="preserve">Second Stage </w:t>
      </w:r>
      <w:r w:rsidR="007C5367">
        <w:rPr>
          <w:iCs/>
          <w:sz w:val="28"/>
          <w:szCs w:val="28"/>
        </w:rPr>
        <w:t xml:space="preserve">SCI Formats for Groupcast HARQ Feedback Options </w:t>
      </w:r>
    </w:p>
    <w:p w14:paraId="0C48B3AF" w14:textId="7D230AC4" w:rsidR="007C5367" w:rsidRDefault="007C5367" w:rsidP="007C5367">
      <w:pPr>
        <w:jc w:val="both"/>
        <w:rPr>
          <w:iCs/>
        </w:rPr>
      </w:pPr>
      <w:r>
        <w:rPr>
          <w:iCs/>
        </w:rPr>
        <w:t xml:space="preserve">It was agreed </w:t>
      </w:r>
      <w:r>
        <w:rPr>
          <w:iCs/>
        </w:rPr>
        <w:fldChar w:fldCharType="begin"/>
      </w:r>
      <w:r>
        <w:rPr>
          <w:iCs/>
        </w:rPr>
        <w:instrText xml:space="preserve"> REF _Ref24015578 \r \h </w:instrText>
      </w:r>
      <w:r>
        <w:rPr>
          <w:iCs/>
        </w:rPr>
      </w:r>
      <w:r>
        <w:rPr>
          <w:iCs/>
        </w:rPr>
        <w:fldChar w:fldCharType="separate"/>
      </w:r>
      <w:r w:rsidR="00197EC4">
        <w:rPr>
          <w:iCs/>
        </w:rPr>
        <w:t>[3]</w:t>
      </w:r>
      <w:r>
        <w:rPr>
          <w:iCs/>
        </w:rPr>
        <w:fldChar w:fldCharType="end"/>
      </w:r>
      <w:r>
        <w:rPr>
          <w:iCs/>
        </w:rPr>
        <w:t xml:space="preserve"> that at least for groupcast HARQ feedback option 1</w:t>
      </w:r>
      <w:r w:rsidR="00197EC4">
        <w:rPr>
          <w:iCs/>
        </w:rPr>
        <w:t>,</w:t>
      </w:r>
      <w:r>
        <w:rPr>
          <w:iCs/>
        </w:rPr>
        <w:t xml:space="preserve"> the Tx-Rx distance-based HARQ feedback is supported. In our view, the Tx-Rx distance-based HARQ feedback should not be applied to groupcast HARQ feedback option 2. The main issue is that if a </w:t>
      </w:r>
      <w:r w:rsidR="00197EC4">
        <w:rPr>
          <w:iCs/>
        </w:rPr>
        <w:t>Tx</w:t>
      </w:r>
      <w:r>
        <w:rPr>
          <w:iCs/>
        </w:rPr>
        <w:t xml:space="preserve"> UE does not receive HARQ ACK/NACK feedback from a </w:t>
      </w:r>
      <w:r w:rsidR="00197EC4">
        <w:rPr>
          <w:iCs/>
        </w:rPr>
        <w:t>Rx</w:t>
      </w:r>
      <w:r>
        <w:rPr>
          <w:iCs/>
        </w:rPr>
        <w:t xml:space="preserve"> UE, it cannot distinguish whether the </w:t>
      </w:r>
      <w:r w:rsidR="00197EC4">
        <w:rPr>
          <w:iCs/>
        </w:rPr>
        <w:t>Rx</w:t>
      </w:r>
      <w:r>
        <w:rPr>
          <w:iCs/>
        </w:rPr>
        <w:t xml:space="preserve"> UE decodes PSSCH transmission but does not feedback HARQ ACK/NACK due to large Tx-Rx distance or whether the </w:t>
      </w:r>
      <w:r w:rsidR="00197EC4">
        <w:rPr>
          <w:iCs/>
        </w:rPr>
        <w:t>Rx</w:t>
      </w:r>
      <w:r>
        <w:rPr>
          <w:iCs/>
        </w:rPr>
        <w:t xml:space="preserve"> UE does not decode PSCCH at all. Note that the </w:t>
      </w:r>
      <w:r w:rsidR="00197EC4">
        <w:rPr>
          <w:iCs/>
        </w:rPr>
        <w:t>Tx</w:t>
      </w:r>
      <w:r>
        <w:rPr>
          <w:iCs/>
        </w:rPr>
        <w:t xml:space="preserve"> UE is supposed to have different behaviors for these two cases. Specifically, the </w:t>
      </w:r>
      <w:r w:rsidR="00197EC4">
        <w:rPr>
          <w:iCs/>
        </w:rPr>
        <w:t>Tx</w:t>
      </w:r>
      <w:r>
        <w:rPr>
          <w:iCs/>
        </w:rPr>
        <w:t xml:space="preserve"> UE does not need to retransmit for the former case, while it needs to retransmit for the latter case. Due to the ambiguity caused by no feedback from receiver UE, it does not make sense to support the Tx-Rx distance-based HARQ feedback for groupcast HARQ feedback option 2. </w:t>
      </w:r>
    </w:p>
    <w:p w14:paraId="5C21FFBD" w14:textId="77777777" w:rsidR="007C5367" w:rsidRPr="00BA318A" w:rsidRDefault="007C5367" w:rsidP="007C5367">
      <w:pPr>
        <w:jc w:val="both"/>
        <w:rPr>
          <w:iCs/>
        </w:rPr>
      </w:pPr>
    </w:p>
    <w:p w14:paraId="778D8C35" w14:textId="0F2CD245" w:rsidR="007C5367" w:rsidRPr="007C5367" w:rsidRDefault="007C5367" w:rsidP="007C5367">
      <w:pPr>
        <w:jc w:val="both"/>
        <w:rPr>
          <w:i/>
        </w:rPr>
      </w:pPr>
      <w:r w:rsidRPr="001C381A">
        <w:rPr>
          <w:b/>
          <w:i/>
          <w:u w:val="single"/>
        </w:rPr>
        <w:t xml:space="preserve">Proposal </w:t>
      </w:r>
      <w:r w:rsidR="00943F24">
        <w:rPr>
          <w:b/>
          <w:i/>
          <w:u w:val="single"/>
        </w:rPr>
        <w:t>6</w:t>
      </w:r>
      <w:r w:rsidRPr="001C381A">
        <w:rPr>
          <w:b/>
          <w:i/>
          <w:u w:val="single"/>
        </w:rPr>
        <w:t>:</w:t>
      </w:r>
      <w:r w:rsidRPr="001C381A">
        <w:rPr>
          <w:i/>
        </w:rPr>
        <w:t xml:space="preserve"> </w:t>
      </w:r>
      <w:r w:rsidRPr="00663C77">
        <w:rPr>
          <w:i/>
        </w:rPr>
        <w:t>The Tx-Rx distance-based HARQ feedback is not supported for groupcast</w:t>
      </w:r>
      <w:r>
        <w:rPr>
          <w:i/>
        </w:rPr>
        <w:t xml:space="preserve"> HARQ feedback</w:t>
      </w:r>
      <w:r w:rsidRPr="00663C77">
        <w:rPr>
          <w:i/>
        </w:rPr>
        <w:t xml:space="preserve"> </w:t>
      </w:r>
      <w:r>
        <w:rPr>
          <w:i/>
        </w:rPr>
        <w:t>o</w:t>
      </w:r>
      <w:r w:rsidRPr="00663C77">
        <w:rPr>
          <w:i/>
        </w:rPr>
        <w:t>ption 2</w:t>
      </w:r>
      <w:r>
        <w:rPr>
          <w:i/>
        </w:rPr>
        <w:t xml:space="preserve">. </w:t>
      </w:r>
    </w:p>
    <w:p w14:paraId="4B6105E0" w14:textId="77777777" w:rsidR="007C5367" w:rsidRPr="007C5367" w:rsidRDefault="007C5367" w:rsidP="007C5367"/>
    <w:p w14:paraId="04243567" w14:textId="6CF1C2DB" w:rsidR="007C5367" w:rsidRDefault="007C5367" w:rsidP="007C5367">
      <w:pPr>
        <w:jc w:val="both"/>
        <w:rPr>
          <w:iCs/>
        </w:rPr>
      </w:pPr>
      <w:r>
        <w:rPr>
          <w:iCs/>
        </w:rPr>
        <w:t xml:space="preserve">It was agreed that for groupcast HARQ feedback option 1, the communication range requirement and the Tx UE’s location information are included in </w:t>
      </w:r>
      <w:r w:rsidR="000371AF">
        <w:rPr>
          <w:iCs/>
        </w:rPr>
        <w:t xml:space="preserve">second stage </w:t>
      </w:r>
      <w:r>
        <w:rPr>
          <w:iCs/>
        </w:rPr>
        <w:t xml:space="preserve">SCI payload. This is mainly to support the Tx-Rx distance-based HARQ feedback for groupcast HARQ feedback option 1. Since this mechanism is not applicable to groupcast HARQ feedback option 2, it is unnecessary to include Tx UE’s location information and communication range requirement in </w:t>
      </w:r>
      <w:r w:rsidR="000371AF">
        <w:rPr>
          <w:iCs/>
        </w:rPr>
        <w:t xml:space="preserve">second stage </w:t>
      </w:r>
      <w:r>
        <w:rPr>
          <w:iCs/>
        </w:rPr>
        <w:t xml:space="preserve">SCI if groupcast HARQ feedback option 2 is taken. Following this logistic, groupcast HARQ feedback option 1 has a different </w:t>
      </w:r>
      <w:r w:rsidR="000371AF">
        <w:rPr>
          <w:iCs/>
        </w:rPr>
        <w:t xml:space="preserve">second stage </w:t>
      </w:r>
      <w:r>
        <w:rPr>
          <w:iCs/>
        </w:rPr>
        <w:t>SCI format as groupcast HARQ feedback option 2. The detailed design of</w:t>
      </w:r>
      <w:r w:rsidR="000371AF">
        <w:rPr>
          <w:iCs/>
        </w:rPr>
        <w:t xml:space="preserve"> second stage</w:t>
      </w:r>
      <w:r>
        <w:rPr>
          <w:iCs/>
        </w:rPr>
        <w:t xml:space="preserve"> SCI is in our companion contribution </w:t>
      </w:r>
      <w:r>
        <w:rPr>
          <w:iCs/>
        </w:rPr>
        <w:fldChar w:fldCharType="begin"/>
      </w:r>
      <w:r>
        <w:rPr>
          <w:iCs/>
        </w:rPr>
        <w:instrText xml:space="preserve"> REF _Ref30356787 \r \h </w:instrText>
      </w:r>
      <w:r>
        <w:rPr>
          <w:iCs/>
        </w:rPr>
      </w:r>
      <w:r>
        <w:rPr>
          <w:iCs/>
        </w:rPr>
        <w:fldChar w:fldCharType="separate"/>
      </w:r>
      <w:r w:rsidR="00197EC4">
        <w:rPr>
          <w:iCs/>
        </w:rPr>
        <w:t>[6]</w:t>
      </w:r>
      <w:r>
        <w:rPr>
          <w:iCs/>
        </w:rPr>
        <w:fldChar w:fldCharType="end"/>
      </w:r>
      <w:r>
        <w:rPr>
          <w:iCs/>
        </w:rPr>
        <w:t xml:space="preserve">. </w:t>
      </w:r>
    </w:p>
    <w:p w14:paraId="7C2170B4" w14:textId="77777777" w:rsidR="007C5367" w:rsidRPr="008A7E7F" w:rsidRDefault="007C5367" w:rsidP="007C5367">
      <w:pPr>
        <w:jc w:val="both"/>
        <w:rPr>
          <w:iCs/>
        </w:rPr>
      </w:pPr>
    </w:p>
    <w:p w14:paraId="29EDA3C0" w14:textId="15A48DAD" w:rsidR="007C5367" w:rsidRDefault="007C5367" w:rsidP="007C5367">
      <w:pPr>
        <w:jc w:val="both"/>
        <w:rPr>
          <w:i/>
        </w:rPr>
      </w:pPr>
      <w:r w:rsidRPr="001C381A">
        <w:rPr>
          <w:b/>
          <w:i/>
          <w:u w:val="single"/>
        </w:rPr>
        <w:t>Proposal</w:t>
      </w:r>
      <w:r w:rsidR="00943F24">
        <w:rPr>
          <w:b/>
          <w:i/>
          <w:u w:val="single"/>
        </w:rPr>
        <w:t xml:space="preserve"> 7</w:t>
      </w:r>
      <w:r w:rsidRPr="001C381A">
        <w:rPr>
          <w:b/>
          <w:i/>
          <w:u w:val="single"/>
        </w:rPr>
        <w:t>:</w:t>
      </w:r>
      <w:r w:rsidRPr="001C381A">
        <w:rPr>
          <w:i/>
        </w:rPr>
        <w:t xml:space="preserve"> </w:t>
      </w:r>
      <w:r>
        <w:rPr>
          <w:i/>
        </w:rPr>
        <w:t xml:space="preserve">Different </w:t>
      </w:r>
      <w:r w:rsidR="000371AF">
        <w:rPr>
          <w:i/>
        </w:rPr>
        <w:t xml:space="preserve">second stage </w:t>
      </w:r>
      <w:r>
        <w:rPr>
          <w:i/>
        </w:rPr>
        <w:t xml:space="preserve">SCI formats are used in groupcast HARQ feedback option 1 and option 2, where Tx UE’s location information and communication range requirement are not included in </w:t>
      </w:r>
      <w:r w:rsidR="000371AF">
        <w:rPr>
          <w:i/>
        </w:rPr>
        <w:t xml:space="preserve">second stage </w:t>
      </w:r>
      <w:r>
        <w:rPr>
          <w:i/>
        </w:rPr>
        <w:t xml:space="preserve">SCI for groupcast HARQ feedback option 2. </w:t>
      </w:r>
    </w:p>
    <w:p w14:paraId="56B8FECB" w14:textId="77777777" w:rsidR="007C5367" w:rsidRPr="00FC24DA" w:rsidRDefault="007C5367" w:rsidP="000C19DB">
      <w:pPr>
        <w:jc w:val="both"/>
        <w:rPr>
          <w:i/>
        </w:rPr>
      </w:pPr>
    </w:p>
    <w:p w14:paraId="2896E657" w14:textId="2DF29AD0" w:rsidR="00854A60" w:rsidRPr="00A6576F" w:rsidRDefault="009C5A97" w:rsidP="00FB330B">
      <w:pPr>
        <w:pStyle w:val="Heading1"/>
      </w:pPr>
      <w:r w:rsidRPr="00A6576F">
        <w:t>Conclusion</w:t>
      </w:r>
    </w:p>
    <w:p w14:paraId="56311B75" w14:textId="08CFED22"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discussed the remaining details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56D015E5" w:rsidR="008A456C" w:rsidRDefault="008A456C" w:rsidP="000A1967">
      <w:pPr>
        <w:rPr>
          <w:rFonts w:eastAsia="MS Mincho"/>
          <w:sz w:val="22"/>
          <w:szCs w:val="22"/>
          <w:lang w:eastAsia="ja-JP"/>
        </w:rPr>
      </w:pPr>
    </w:p>
    <w:p w14:paraId="1B04C56F" w14:textId="1A125919" w:rsidR="002F66F6" w:rsidRDefault="002F66F6" w:rsidP="002F66F6">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Power boosting on PSCCH</w:t>
      </w:r>
      <w:r w:rsidR="00BF3E4B">
        <w:rPr>
          <w:i/>
        </w:rPr>
        <w:t>, CSI-RS and PT-RS</w:t>
      </w:r>
      <w:r>
        <w:rPr>
          <w:i/>
        </w:rPr>
        <w:t xml:space="preserve"> is not supported.</w:t>
      </w:r>
    </w:p>
    <w:p w14:paraId="5CA2D9F8" w14:textId="77777777" w:rsidR="00590CDD" w:rsidRDefault="00590CDD" w:rsidP="00590CDD">
      <w:pPr>
        <w:jc w:val="both"/>
        <w:rPr>
          <w:b/>
          <w:i/>
          <w:u w:val="single"/>
        </w:rPr>
      </w:pPr>
    </w:p>
    <w:p w14:paraId="026CF597" w14:textId="32D97D26" w:rsidR="00590CDD" w:rsidRDefault="00590CDD" w:rsidP="00590CDD">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Power boosting on sidelink CSI-RS and sidelink PT-RS is not supported.</w:t>
      </w:r>
    </w:p>
    <w:p w14:paraId="4ED555E3" w14:textId="77777777" w:rsidR="00590CDD" w:rsidRDefault="00590CDD" w:rsidP="00590CDD">
      <w:pPr>
        <w:jc w:val="both"/>
        <w:rPr>
          <w:b/>
          <w:i/>
          <w:u w:val="single"/>
        </w:rPr>
      </w:pPr>
    </w:p>
    <w:p w14:paraId="2E433874" w14:textId="77777777" w:rsidR="00943F24" w:rsidRDefault="00943F24" w:rsidP="00943F24">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For a PSSCH in unicast and groupcast feedback option 1, the candidate PSFCH resource is the set of PRBs associated with the starting sub-channel and slot used for that PSSCH; For a PSSCH in groupcast feedback option 2, the candidate PSFCH resource is the set of PRBs associated with all the sub-channels and slot used for that PSSCH. </w:t>
      </w:r>
    </w:p>
    <w:p w14:paraId="0C633385" w14:textId="7B027BFD" w:rsidR="00D8146E" w:rsidRDefault="00D8146E" w:rsidP="000A1967">
      <w:pPr>
        <w:rPr>
          <w:rFonts w:eastAsia="MS Mincho"/>
          <w:sz w:val="22"/>
          <w:szCs w:val="22"/>
          <w:lang w:eastAsia="ja-JP"/>
        </w:rPr>
      </w:pPr>
    </w:p>
    <w:p w14:paraId="4DF07E3E" w14:textId="77777777" w:rsidR="00197EC4" w:rsidRDefault="00197EC4" w:rsidP="00197EC4">
      <w:pPr>
        <w:jc w:val="both"/>
        <w:rPr>
          <w:i/>
        </w:rPr>
      </w:pPr>
      <w:r w:rsidRPr="00F63690">
        <w:rPr>
          <w:b/>
          <w:i/>
          <w:u w:val="single"/>
        </w:rPr>
        <w:t>Proposal 4:</w:t>
      </w:r>
      <w:r w:rsidRPr="00F63690">
        <w:rPr>
          <w:i/>
        </w:rPr>
        <w:t xml:space="preserve"> No explicit group size restriction is imposed on groupcast </w:t>
      </w:r>
      <w:r>
        <w:rPr>
          <w:i/>
        </w:rPr>
        <w:t xml:space="preserve">HARQ </w:t>
      </w:r>
      <w:r w:rsidRPr="00F63690">
        <w:rPr>
          <w:i/>
        </w:rPr>
        <w:t>feedback option 2.</w:t>
      </w:r>
      <w:r>
        <w:rPr>
          <w:i/>
        </w:rPr>
        <w:t xml:space="preserve"> </w:t>
      </w:r>
    </w:p>
    <w:p w14:paraId="295B924C" w14:textId="3383A57F" w:rsidR="00943F24" w:rsidRDefault="00943F24" w:rsidP="000A1967">
      <w:pPr>
        <w:rPr>
          <w:rFonts w:eastAsia="MS Mincho"/>
          <w:sz w:val="22"/>
          <w:szCs w:val="22"/>
          <w:lang w:eastAsia="ja-JP"/>
        </w:rPr>
      </w:pPr>
    </w:p>
    <w:p w14:paraId="49CEB82F" w14:textId="77777777" w:rsidR="00197EC4" w:rsidRDefault="00197EC4" w:rsidP="00197EC4">
      <w:pPr>
        <w:jc w:val="both"/>
        <w:rPr>
          <w:i/>
        </w:rPr>
      </w:pPr>
      <w:r w:rsidRPr="001C381A">
        <w:rPr>
          <w:b/>
          <w:i/>
          <w:u w:val="single"/>
        </w:rPr>
        <w:t xml:space="preserve">Proposal </w:t>
      </w:r>
      <w:r>
        <w:rPr>
          <w:b/>
          <w:i/>
          <w:u w:val="single"/>
        </w:rPr>
        <w:t>5</w:t>
      </w:r>
      <w:r w:rsidRPr="001C381A">
        <w:rPr>
          <w:b/>
          <w:i/>
          <w:u w:val="single"/>
        </w:rPr>
        <w:t>:</w:t>
      </w:r>
      <w:r>
        <w:rPr>
          <w:i/>
        </w:rPr>
        <w:t xml:space="preserve"> For groupcast HARQ feedback option 1, the calculation of Tx-Rx distance has the following steps:</w:t>
      </w:r>
    </w:p>
    <w:p w14:paraId="1A7CC635" w14:textId="77777777" w:rsidR="00197EC4" w:rsidRPr="00943F24" w:rsidRDefault="00197EC4" w:rsidP="00197EC4">
      <w:pPr>
        <w:pStyle w:val="ListParagraph"/>
        <w:numPr>
          <w:ilvl w:val="0"/>
          <w:numId w:val="42"/>
        </w:numPr>
        <w:jc w:val="both"/>
        <w:rPr>
          <w:rFonts w:ascii="Times New Roman" w:hAnsi="Times New Roman"/>
          <w:i/>
          <w:sz w:val="24"/>
          <w:szCs w:val="24"/>
        </w:rPr>
      </w:pPr>
      <w:r w:rsidRPr="00943F24">
        <w:rPr>
          <w:rFonts w:ascii="Times New Roman" w:hAnsi="Times New Roman"/>
          <w:i/>
          <w:sz w:val="24"/>
          <w:szCs w:val="24"/>
        </w:rPr>
        <w:t>Obtain a list of zone center geodesic locations whose corresponding zone ID is identical to Tx UE’s zone ID</w:t>
      </w:r>
      <w:r>
        <w:rPr>
          <w:rFonts w:ascii="Times New Roman" w:hAnsi="Times New Roman"/>
          <w:i/>
          <w:sz w:val="24"/>
          <w:szCs w:val="24"/>
        </w:rPr>
        <w:t>.</w:t>
      </w:r>
    </w:p>
    <w:p w14:paraId="3FCC9EA5" w14:textId="77777777" w:rsidR="00197EC4" w:rsidRPr="00943F24" w:rsidRDefault="00197EC4" w:rsidP="00197EC4">
      <w:pPr>
        <w:pStyle w:val="ListParagraph"/>
        <w:numPr>
          <w:ilvl w:val="0"/>
          <w:numId w:val="42"/>
        </w:numPr>
        <w:jc w:val="both"/>
        <w:rPr>
          <w:rFonts w:ascii="Times New Roman" w:hAnsi="Times New Roman"/>
          <w:i/>
          <w:sz w:val="24"/>
          <w:szCs w:val="24"/>
        </w:rPr>
      </w:pPr>
      <w:r w:rsidRPr="00943F24">
        <w:rPr>
          <w:rFonts w:ascii="Times New Roman" w:hAnsi="Times New Roman"/>
          <w:i/>
          <w:sz w:val="24"/>
          <w:szCs w:val="24"/>
        </w:rPr>
        <w:t>Identify a zone</w:t>
      </w:r>
      <w:r>
        <w:rPr>
          <w:rFonts w:ascii="Times New Roman" w:hAnsi="Times New Roman"/>
          <w:i/>
          <w:sz w:val="24"/>
          <w:szCs w:val="24"/>
        </w:rPr>
        <w:t xml:space="preserve"> from the list</w:t>
      </w:r>
      <w:r w:rsidRPr="00943F24">
        <w:rPr>
          <w:rFonts w:ascii="Times New Roman" w:hAnsi="Times New Roman"/>
          <w:i/>
          <w:sz w:val="24"/>
          <w:szCs w:val="24"/>
        </w:rPr>
        <w:t xml:space="preserve"> whose center geodesic location is closest to Rx UE’s geodesic location.</w:t>
      </w:r>
    </w:p>
    <w:p w14:paraId="27EEED0B" w14:textId="77777777" w:rsidR="00197EC4" w:rsidRPr="00943F24" w:rsidRDefault="00197EC4" w:rsidP="00197EC4">
      <w:pPr>
        <w:pStyle w:val="ListParagraph"/>
        <w:numPr>
          <w:ilvl w:val="0"/>
          <w:numId w:val="42"/>
        </w:numPr>
        <w:jc w:val="both"/>
        <w:rPr>
          <w:rFonts w:ascii="Times New Roman" w:hAnsi="Times New Roman"/>
          <w:i/>
          <w:sz w:val="24"/>
          <w:szCs w:val="24"/>
        </w:rPr>
      </w:pPr>
      <w:r w:rsidRPr="00943F24">
        <w:rPr>
          <w:rFonts w:ascii="Times New Roman" w:hAnsi="Times New Roman"/>
          <w:i/>
          <w:sz w:val="24"/>
          <w:szCs w:val="24"/>
        </w:rPr>
        <w:t xml:space="preserve">Set Tx UE’s geodesic location within the identified zone, depending on data priority. </w:t>
      </w:r>
    </w:p>
    <w:p w14:paraId="14089551" w14:textId="77777777" w:rsidR="00197EC4" w:rsidRPr="00943F24" w:rsidRDefault="00197EC4" w:rsidP="00197EC4">
      <w:pPr>
        <w:pStyle w:val="ListParagraph"/>
        <w:numPr>
          <w:ilvl w:val="0"/>
          <w:numId w:val="42"/>
        </w:numPr>
        <w:jc w:val="both"/>
        <w:rPr>
          <w:rFonts w:ascii="Times New Roman" w:hAnsi="Times New Roman"/>
          <w:i/>
          <w:sz w:val="24"/>
          <w:szCs w:val="24"/>
        </w:rPr>
      </w:pPr>
      <w:r w:rsidRPr="00943F24">
        <w:rPr>
          <w:rFonts w:ascii="Times New Roman" w:hAnsi="Times New Roman"/>
          <w:i/>
          <w:sz w:val="24"/>
          <w:szCs w:val="24"/>
        </w:rPr>
        <w:t>Calculate the distance between Tx UE’s geodesic location and Rx UE’s geodesic location</w:t>
      </w:r>
      <w:r>
        <w:rPr>
          <w:rFonts w:ascii="Times New Roman" w:hAnsi="Times New Roman"/>
          <w:i/>
          <w:sz w:val="24"/>
          <w:szCs w:val="24"/>
        </w:rPr>
        <w:t>.</w:t>
      </w:r>
    </w:p>
    <w:p w14:paraId="5C70D3CC" w14:textId="77777777" w:rsidR="00943F24" w:rsidRDefault="00943F24" w:rsidP="000A1967">
      <w:pPr>
        <w:rPr>
          <w:rFonts w:eastAsia="MS Mincho"/>
          <w:sz w:val="22"/>
          <w:szCs w:val="22"/>
          <w:lang w:eastAsia="ja-JP"/>
        </w:rPr>
      </w:pPr>
    </w:p>
    <w:p w14:paraId="2EA2C843" w14:textId="77777777" w:rsidR="00943F24" w:rsidRPr="007C5367" w:rsidRDefault="00943F24" w:rsidP="00943F24">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sidRPr="00663C77">
        <w:rPr>
          <w:i/>
        </w:rPr>
        <w:t>The Tx-Rx distance-based HARQ feedback is not supported for groupcast</w:t>
      </w:r>
      <w:r>
        <w:rPr>
          <w:i/>
        </w:rPr>
        <w:t xml:space="preserve"> HARQ feedback</w:t>
      </w:r>
      <w:r w:rsidRPr="00663C77">
        <w:rPr>
          <w:i/>
        </w:rPr>
        <w:t xml:space="preserve"> </w:t>
      </w:r>
      <w:r>
        <w:rPr>
          <w:i/>
        </w:rPr>
        <w:t>o</w:t>
      </w:r>
      <w:r w:rsidRPr="00663C77">
        <w:rPr>
          <w:i/>
        </w:rPr>
        <w:t>ption 2</w:t>
      </w:r>
      <w:r>
        <w:rPr>
          <w:i/>
        </w:rPr>
        <w:t xml:space="preserve">. </w:t>
      </w:r>
    </w:p>
    <w:p w14:paraId="46EA8951" w14:textId="77777777" w:rsidR="00943F24" w:rsidRDefault="00943F24" w:rsidP="00943F24">
      <w:pPr>
        <w:jc w:val="both"/>
        <w:rPr>
          <w:b/>
          <w:i/>
          <w:u w:val="single"/>
        </w:rPr>
      </w:pPr>
    </w:p>
    <w:p w14:paraId="64ADEE79" w14:textId="77777777" w:rsidR="000371AF" w:rsidRDefault="000371AF" w:rsidP="000371AF">
      <w:pPr>
        <w:jc w:val="both"/>
        <w:rPr>
          <w:i/>
        </w:rPr>
      </w:pPr>
      <w:r w:rsidRPr="001C381A">
        <w:rPr>
          <w:b/>
          <w:i/>
          <w:u w:val="single"/>
        </w:rPr>
        <w:t>Proposal</w:t>
      </w:r>
      <w:r>
        <w:rPr>
          <w:b/>
          <w:i/>
          <w:u w:val="single"/>
        </w:rPr>
        <w:t xml:space="preserve"> 7</w:t>
      </w:r>
      <w:r w:rsidRPr="001C381A">
        <w:rPr>
          <w:b/>
          <w:i/>
          <w:u w:val="single"/>
        </w:rPr>
        <w:t>:</w:t>
      </w:r>
      <w:r w:rsidRPr="001C381A">
        <w:rPr>
          <w:i/>
        </w:rPr>
        <w:t xml:space="preserve"> </w:t>
      </w:r>
      <w:r>
        <w:rPr>
          <w:i/>
        </w:rPr>
        <w:t xml:space="preserve">Different second stage SCI formats are used in groupcast HARQ feedback option 1 and option 2, where Tx UE’s location information and communication range requirement are not included in second stage SCI for groupcast HARQ feedback option 2. </w:t>
      </w:r>
    </w:p>
    <w:p w14:paraId="07A137C9" w14:textId="77777777" w:rsidR="00943F24" w:rsidRPr="00A6576F" w:rsidRDefault="00943F24"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3A299FC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6400C7">
        <w:t>Chairman’s Notes, 3GPP TSG RAN</w:t>
      </w:r>
      <w:r>
        <w:t xml:space="preserve"> </w:t>
      </w:r>
      <w:r w:rsidRPr="006400C7">
        <w:t>#</w:t>
      </w:r>
      <w:r>
        <w:t>86</w:t>
      </w:r>
      <w:r w:rsidRPr="006400C7">
        <w:t xml:space="preserve"> Meeting, </w:t>
      </w:r>
      <w:r>
        <w:t>Sitges, ES, Dec</w:t>
      </w:r>
      <w:r w:rsidRPr="006400C7">
        <w:t>. 2019.</w:t>
      </w:r>
    </w:p>
    <w:p w14:paraId="69E3DAB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9545847"/>
      <w:r>
        <w:t>RP-193198, Task list for 5G V2X in RAN1 #100, Sitges, ES, Dec. 2019.</w:t>
      </w:r>
      <w:bookmarkEnd w:id="3"/>
      <w:r>
        <w:t xml:space="preserve"> </w:t>
      </w:r>
    </w:p>
    <w:p w14:paraId="4C56B230" w14:textId="1F2DA27C"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4015578"/>
      <w:r w:rsidRPr="001B2D41">
        <w:t>Chairman’s Notes, 3GPP TSG RAN1 WG1 #9</w:t>
      </w:r>
      <w:r>
        <w:t>7</w:t>
      </w:r>
      <w:r w:rsidRPr="001B2D41">
        <w:t xml:space="preserve"> Meeting, </w:t>
      </w:r>
      <w:r>
        <w:t>Reno</w:t>
      </w:r>
      <w:r w:rsidRPr="001B2D41">
        <w:t xml:space="preserve">, </w:t>
      </w:r>
      <w:r>
        <w:t>USA</w:t>
      </w:r>
      <w:r w:rsidRPr="001B2D41">
        <w:t xml:space="preserve">, </w:t>
      </w:r>
      <w:r>
        <w:t>May</w:t>
      </w:r>
      <w:r w:rsidRPr="001B2D41">
        <w:t xml:space="preserve"> 2019.</w:t>
      </w:r>
      <w:bookmarkEnd w:id="4"/>
      <w:r w:rsidRPr="001B2D41">
        <w:t xml:space="preserve"> </w:t>
      </w:r>
    </w:p>
    <w:p w14:paraId="0BE94F6F" w14:textId="77777777" w:rsidR="00F63690" w:rsidRDefault="00F63690" w:rsidP="0040642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0522813"/>
      <w:r w:rsidRPr="001B2D41">
        <w:t>Chairman’s Notes, 3GPP TSG RAN1 WG1 #98</w:t>
      </w:r>
      <w:r>
        <w:t>bis</w:t>
      </w:r>
      <w:r w:rsidRPr="001B2D41">
        <w:t xml:space="preserve"> Meeting, </w:t>
      </w:r>
      <w:r>
        <w:t>Chongqing</w:t>
      </w:r>
      <w:r w:rsidRPr="001B2D41">
        <w:t>, C</w:t>
      </w:r>
      <w:r>
        <w:t>hina</w:t>
      </w:r>
      <w:r w:rsidRPr="001B2D41">
        <w:t xml:space="preserve">, </w:t>
      </w:r>
      <w:r>
        <w:t>Oct</w:t>
      </w:r>
      <w:r w:rsidRPr="001B2D41">
        <w:t>. 2019.</w:t>
      </w:r>
      <w:bookmarkEnd w:id="5"/>
      <w:r w:rsidRPr="001B2D41">
        <w:t xml:space="preserve"> </w:t>
      </w:r>
      <w:bookmarkStart w:id="6" w:name="_Ref30367895"/>
    </w:p>
    <w:p w14:paraId="713823CE" w14:textId="7A5AE3FD" w:rsidR="00943F24" w:rsidRDefault="00943F24" w:rsidP="0040642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0522867"/>
      <w:r w:rsidRPr="001B2D41">
        <w:t>Chairman’s Notes, 3GPP TSG RAN1 WG1 #9</w:t>
      </w:r>
      <w:r>
        <w:t>9</w:t>
      </w:r>
      <w:r w:rsidRPr="001B2D41">
        <w:t xml:space="preserve"> Meeting, </w:t>
      </w:r>
      <w:r>
        <w:t>Reno</w:t>
      </w:r>
      <w:r w:rsidRPr="001B2D41">
        <w:t xml:space="preserve">, </w:t>
      </w:r>
      <w:r>
        <w:t>USA</w:t>
      </w:r>
      <w:r w:rsidRPr="001B2D41">
        <w:t xml:space="preserve">, </w:t>
      </w:r>
      <w:r>
        <w:t>Nov.</w:t>
      </w:r>
      <w:r w:rsidRPr="001B2D41">
        <w:t xml:space="preserve"> 2019.</w:t>
      </w:r>
      <w:bookmarkEnd w:id="6"/>
      <w:bookmarkEnd w:id="7"/>
      <w:r w:rsidRPr="001B2D41">
        <w:t xml:space="preserve"> </w:t>
      </w:r>
    </w:p>
    <w:p w14:paraId="5AB1F16F" w14:textId="791B1852" w:rsidR="002D0997" w:rsidRPr="00804C0F" w:rsidRDefault="00F63690" w:rsidP="00F6369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0356787"/>
      <w:r w:rsidRPr="00804C0F">
        <w:t>R1-200</w:t>
      </w:r>
      <w:r w:rsidR="00804C0F" w:rsidRPr="00804C0F">
        <w:t>0850</w:t>
      </w:r>
      <w:r w:rsidRPr="00804C0F">
        <w:t xml:space="preserve">, Remaining details on </w:t>
      </w:r>
      <w:r w:rsidR="00197EC4" w:rsidRPr="00804C0F">
        <w:t xml:space="preserve">NR V2X </w:t>
      </w:r>
      <w:r w:rsidRPr="00804C0F">
        <w:t>physical layer structure, Apple, Feb. 2020.</w:t>
      </w:r>
      <w:bookmarkEnd w:id="8"/>
      <w:r w:rsidRPr="00804C0F">
        <w:t xml:space="preserve"> </w:t>
      </w:r>
      <w:bookmarkEnd w:id="1"/>
      <w:bookmarkEnd w:id="2"/>
    </w:p>
    <w:sectPr w:rsidR="002D0997" w:rsidRPr="00804C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4698" w14:textId="77777777" w:rsidR="00A43EF6" w:rsidRDefault="00A43EF6">
      <w:r>
        <w:separator/>
      </w:r>
    </w:p>
  </w:endnote>
  <w:endnote w:type="continuationSeparator" w:id="0">
    <w:p w14:paraId="662BCA96" w14:textId="77777777" w:rsidR="00A43EF6" w:rsidRDefault="00A43EF6">
      <w:r>
        <w:continuationSeparator/>
      </w:r>
    </w:p>
  </w:endnote>
  <w:endnote w:type="continuationNotice" w:id="1">
    <w:p w14:paraId="79FB94C0" w14:textId="77777777" w:rsidR="00A43EF6" w:rsidRDefault="00A43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3E1664" w:rsidRDefault="003E16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4C658" w14:textId="77777777" w:rsidR="00A43EF6" w:rsidRDefault="00A43EF6">
      <w:r>
        <w:separator/>
      </w:r>
    </w:p>
  </w:footnote>
  <w:footnote w:type="continuationSeparator" w:id="0">
    <w:p w14:paraId="5AD9BA47" w14:textId="77777777" w:rsidR="00A43EF6" w:rsidRDefault="00A43EF6">
      <w:r>
        <w:continuationSeparator/>
      </w:r>
    </w:p>
  </w:footnote>
  <w:footnote w:type="continuationNotice" w:id="1">
    <w:p w14:paraId="48556D77" w14:textId="77777777" w:rsidR="00A43EF6" w:rsidRDefault="00A43E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F96DE9"/>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4679D"/>
    <w:multiLevelType w:val="hybridMultilevel"/>
    <w:tmpl w:val="A4864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9E56EF"/>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7953E97"/>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546026"/>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04D5B"/>
    <w:multiLevelType w:val="hybridMultilevel"/>
    <w:tmpl w:val="F61E80B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4"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89622EF"/>
    <w:multiLevelType w:val="hybridMultilevel"/>
    <w:tmpl w:val="D1A40EA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6"/>
  </w:num>
  <w:num w:numId="6">
    <w:abstractNumId w:val="21"/>
  </w:num>
  <w:num w:numId="7">
    <w:abstractNumId w:val="29"/>
  </w:num>
  <w:num w:numId="8">
    <w:abstractNumId w:val="17"/>
  </w:num>
  <w:num w:numId="9">
    <w:abstractNumId w:val="26"/>
  </w:num>
  <w:num w:numId="10">
    <w:abstractNumId w:val="0"/>
  </w:num>
  <w:num w:numId="11">
    <w:abstractNumId w:val="33"/>
  </w:num>
  <w:num w:numId="12">
    <w:abstractNumId w:val="8"/>
  </w:num>
  <w:num w:numId="13">
    <w:abstractNumId w:val="27"/>
  </w:num>
  <w:num w:numId="14">
    <w:abstractNumId w:val="20"/>
  </w:num>
  <w:num w:numId="15">
    <w:abstractNumId w:val="36"/>
  </w:num>
  <w:num w:numId="16">
    <w:abstractNumId w:val="41"/>
  </w:num>
  <w:num w:numId="17">
    <w:abstractNumId w:val="15"/>
  </w:num>
  <w:num w:numId="18">
    <w:abstractNumId w:val="31"/>
  </w:num>
  <w:num w:numId="19">
    <w:abstractNumId w:val="9"/>
  </w:num>
  <w:num w:numId="20">
    <w:abstractNumId w:val="32"/>
  </w:num>
  <w:num w:numId="21">
    <w:abstractNumId w:val="39"/>
  </w:num>
  <w:num w:numId="22">
    <w:abstractNumId w:val="25"/>
  </w:num>
  <w:num w:numId="23">
    <w:abstractNumId w:val="34"/>
  </w:num>
  <w:num w:numId="24">
    <w:abstractNumId w:val="30"/>
  </w:num>
  <w:num w:numId="25">
    <w:abstractNumId w:val="40"/>
  </w:num>
  <w:num w:numId="26">
    <w:abstractNumId w:val="10"/>
  </w:num>
  <w:num w:numId="27">
    <w:abstractNumId w:val="6"/>
  </w:num>
  <w:num w:numId="28">
    <w:abstractNumId w:val="23"/>
  </w:num>
  <w:num w:numId="29">
    <w:abstractNumId w:val="2"/>
  </w:num>
  <w:num w:numId="30">
    <w:abstractNumId w:val="37"/>
  </w:num>
  <w:num w:numId="31">
    <w:abstractNumId w:val="38"/>
  </w:num>
  <w:num w:numId="32">
    <w:abstractNumId w:val="4"/>
  </w:num>
  <w:num w:numId="33">
    <w:abstractNumId w:val="28"/>
  </w:num>
  <w:num w:numId="34">
    <w:abstractNumId w:val="11"/>
  </w:num>
  <w:num w:numId="35">
    <w:abstractNumId w:val="14"/>
  </w:num>
  <w:num w:numId="36">
    <w:abstractNumId w:val="22"/>
  </w:num>
  <w:num w:numId="37">
    <w:abstractNumId w:val="7"/>
  </w:num>
  <w:num w:numId="38">
    <w:abstractNumId w:val="35"/>
  </w:num>
  <w:num w:numId="39">
    <w:abstractNumId w:val="5"/>
  </w:num>
  <w:num w:numId="40">
    <w:abstractNumId w:val="12"/>
  </w:num>
  <w:num w:numId="41">
    <w:abstractNumId w:val="1"/>
  </w:num>
  <w:num w:numId="4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1AF"/>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26E"/>
    <w:rsid w:val="005556E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57E6"/>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66C8"/>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29C2"/>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676"/>
    <w:rsid w:val="00946945"/>
    <w:rsid w:val="009469F8"/>
    <w:rsid w:val="00946A96"/>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F16"/>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0FB"/>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4046"/>
    <w:rsid w:val="00CC4265"/>
    <w:rsid w:val="00CC44C8"/>
    <w:rsid w:val="00CC4C07"/>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4</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2020-02-15T02:24:00Z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